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ONLINE-MATERIAL ZU ABSCHNITT 1.3</w:t>
      </w:r>
    </w:p>
    <w:p>
      <w:pPr>
        <w:pStyle w:val="Heading1"/>
        <w:spacing w:after="120" w:line="360"/>
      </w:pPr>
      <w:r>
        <w:rPr>
          <w:rFonts w:ascii="Aptos" w:cs="Aptos" w:eastAsia="Aptos" w:hAnsi="Aptos"/>
          <w:b/>
          <w:bCs/>
          <w:color w:val="002060"/>
          <w:sz w:val="36"/>
          <w:szCs w:val="36"/>
        </w:rPr>
        <w:t xml:space="preserve">Stresstest der Resilienz</w:t>
      </w:r>
    </w:p>
    <w:p>
      <w:pPr>
        <w:spacing w:after="200"/>
      </w:pPr>
      <w:r>
        <w:rPr>
          <w:rFonts w:ascii="Aptos" w:cs="Aptos" w:eastAsia="Aptos" w:hAnsi="Aptos"/>
          <w:i/>
          <w:iCs/>
          <w:color w:val="5A5A5A"/>
          <w:sz w:val="22"/>
          <w:szCs w:val="22"/>
        </w:rPr>
        <w:t xml:space="preserve">Arbeitsblatt: einzelne Ausfallstellen finden, priorisieren und mit geübten Kontingenzplänen am Einsatzort schließen</w:t>
      </w:r>
    </w:p>
    <w:p>
      <w:pPr>
        <w:pBdr>
          <w:bottom w:val="single" w:color="C9BBA6" w:sz="6" w:space="4"/>
        </w:pBdr>
        <w:spacing w:after="240"/>
      </w:pPr>
      <w:r>
        <w:rPr>
          <w:rFonts w:ascii="Aptos" w:cs="Aptos" w:eastAsia="Aptos" w:hAnsi="Aptos"/>
          <w:color w:val="5A5A5A"/>
          <w:sz w:val="17"/>
          <w:szCs w:val="17"/>
        </w:rPr>
        <w:t xml:space="preserve">Stand: 13.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Einordnung </w:t>
            </w:r>
            <w:r>
              <w:rPr>
                <w:rFonts w:ascii="Aptos" w:cs="Aptos" w:eastAsia="Aptos" w:hAnsi="Aptos"/>
                <w:color w:val="1A1A1A"/>
                <w:sz w:val="21"/>
                <w:szCs w:val="21"/>
              </w:rPr>
              <w:t xml:space="preserve">Die ISO 9001:2026 enthält keine Resilienzklausel. Resilienz ist die Lesart dieses Bandes, kein Begriff der Norm.</w:t>
            </w:r>
          </w:p>
          <w:p>
            <w:pPr>
              <w:spacing w:after="0" w:line="300"/>
            </w:pPr>
            <w:r>
              <w:rPr>
                <w:rFonts w:ascii="Aptos" w:cs="Aptos" w:eastAsia="Aptos" w:hAnsi="Aptos"/>
                <w:color w:val="1A1A1A"/>
                <w:sz w:val="21"/>
                <w:szCs w:val="21"/>
              </w:rPr>
              <w:t xml:space="preserve">Der Stresstest stützt bestehende Anforderungen: Prozesse und Wechselwirkungen (4.4), betriebliche Planung und Steuerung (8.1), Kompetenz (7.2) sowie Risiken und Chancen (6.1). Wer tiefer gehen will, findet in der ISO 22301 die Methode der maximal tolerierbaren Ausfallzeit. Eine Zertifizierung danach ist für die meisten Häuser nicht nötig.</w:t>
            </w:r>
          </w:p>
        </w:tc>
      </w:tr>
    </w:tbl>
    <w:p>
      <w:pPr>
        <w:spacing w:after="120"/>
      </w:pPr>
    </w:p>
    <w:p>
      <w:pPr>
        <w:spacing w:after="140" w:before="0" w:line="300"/>
        <w:jc w:val="both"/>
      </w:pPr>
      <w:r>
        <w:rPr>
          <w:rFonts w:ascii="Aptos" w:cs="Aptos" w:eastAsia="Aptos" w:hAnsi="Aptos"/>
          <w:b/>
          <w:bCs/>
          <w:color w:val="1A1A1A"/>
          <w:sz w:val="21"/>
          <w:szCs w:val="21"/>
        </w:rPr>
        <w:t xml:space="preserve">Wozu.</w:t>
      </w:r>
      <w:r>
        <w:rPr>
          <w:rFonts w:ascii="Aptos" w:cs="Aptos" w:eastAsia="Aptos" w:hAnsi="Aptos"/>
          <w:color w:val="1A1A1A"/>
          <w:sz w:val="21"/>
          <w:szCs w:val="21"/>
        </w:rPr>
        <w:t xml:space="preserve"> Der Stresstest vergleicht das System mit der Wirklichkeit und findet, was unter Druck bricht. Die Gap-Analyse vergleicht mit den Klauseln und findet, was dokumentarisch fehlt.</w:t>
      </w:r>
    </w:p>
    <w:p>
      <w:pPr>
        <w:spacing w:after="140" w:before="0" w:line="300"/>
        <w:jc w:val="both"/>
      </w:pPr>
      <w:r>
        <w:rPr>
          <w:rFonts w:ascii="Aptos" w:cs="Aptos" w:eastAsia="Aptos" w:hAnsi="Aptos"/>
          <w:b/>
          <w:bCs/>
          <w:color w:val="1A1A1A"/>
          <w:sz w:val="21"/>
          <w:szCs w:val="21"/>
        </w:rPr>
        <w:t xml:space="preserve">Wer.</w:t>
      </w:r>
      <w:r>
        <w:rPr>
          <w:rFonts w:ascii="Aptos" w:cs="Aptos" w:eastAsia="Aptos" w:hAnsi="Aptos"/>
          <w:color w:val="1A1A1A"/>
          <w:sz w:val="21"/>
          <w:szCs w:val="21"/>
        </w:rPr>
        <w:t xml:space="preserve"> Der Direktionskreis mit den Prozessverantwortlichen und der Qualitätsbeauftragten. Aufwand nach dem Buch: etwa ein Arbeitstag.</w:t>
      </w:r>
    </w:p>
    <w:p>
      <w:pPr>
        <w:spacing w:after="140" w:before="0" w:line="300"/>
        <w:jc w:val="both"/>
      </w:pPr>
      <w:r>
        <w:rPr>
          <w:rFonts w:ascii="Aptos" w:cs="Aptos" w:eastAsia="Aptos" w:hAnsi="Aptos"/>
          <w:b/>
          <w:bCs/>
          <w:color w:val="1A1A1A"/>
          <w:sz w:val="21"/>
          <w:szCs w:val="21"/>
        </w:rPr>
        <w:t xml:space="preserve">Wann.</w:t>
      </w:r>
      <w:r>
        <w:rPr>
          <w:rFonts w:ascii="Aptos" w:cs="Aptos" w:eastAsia="Aptos" w:hAnsi="Aptos"/>
          <w:color w:val="1A1A1A"/>
          <w:sz w:val="21"/>
          <w:szCs w:val="21"/>
        </w:rPr>
        <w:t xml:space="preserve"> Am Anfang der Transition, vor der Gap-Analyse. Danach regelmäßig, nach dem Buch mindestens jährlich, und nach Änderungen an Prozessen, Personal oder Technik.</w:t>
      </w:r>
    </w:p>
    <w:p>
      <w:pPr>
        <w:keepNext/>
        <w:spacing w:after="90" w:before="160"/>
      </w:pPr>
      <w:r>
        <w:rPr>
          <w:rFonts w:ascii="Aptos" w:cs="Aptos" w:eastAsia="Aptos" w:hAnsi="Aptos"/>
          <w:b/>
          <w:bCs/>
          <w:color w:val="5A5A5A"/>
          <w:sz w:val="18"/>
          <w:szCs w:val="18"/>
        </w:rPr>
        <w:t xml:space="preserve">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Teilnehmende (Namen,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Moderation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Schritt 1: Kritische Prozesse wählen</w:t>
      </w:r>
    </w:p>
    <w:p>
      <w:pPr>
        <w:spacing w:after="140" w:before="0" w:line="300"/>
        <w:jc w:val="both"/>
      </w:pPr>
      <w:r>
        <w:rPr>
          <w:rFonts w:ascii="Aptos" w:cs="Aptos" w:eastAsia="Aptos" w:hAnsi="Aptos"/>
          <w:color w:val="1A1A1A"/>
          <w:sz w:val="21"/>
          <w:szCs w:val="21"/>
        </w:rPr>
        <w:t xml:space="preserve">Höchstens fünf Prozesse, deren Ausfall der Gast unmittelbar spürt. Vorschlag des Buches: Check-in, Frühstück, Zimmerreinigung, Reklamation, Sicherheit.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3"/>
        <w:gridCol w:w="2610"/>
        <w:gridCol w:w="4016"/>
        <w:gridCol w:w="2209"/>
      </w:tblGrid>
      <w:tr>
        <w:trPr>
          <w:tblHeader/>
        </w:trPr>
        <w:tc>
          <w:tcPr>
            <w:tcW w:type="dxa" w:w="80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Nr.</w:t>
            </w:r>
          </w:p>
        </w:tc>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Prozess</w:t>
            </w:r>
          </w:p>
        </w:tc>
        <w:tc>
          <w:tcPr>
            <w:tcW w:type="dxa" w:w="40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Warum kritisch für den Gast</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Prozessverantwortlich</w:t>
            </w:r>
          </w:p>
        </w:tc>
      </w:tr>
      <w:tr>
        <w:trPr>
          <w:cantSplit/>
        </w:trPr>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P1</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P2</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P3</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P4</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P5</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B. Schritt 2: Die drei Ausfallachsen abfragen</w:t>
      </w:r>
    </w:p>
    <w:p>
      <w:pPr>
        <w:spacing w:after="140" w:before="0" w:line="300"/>
        <w:jc w:val="both"/>
      </w:pPr>
      <w:r>
        <w:rPr>
          <w:rFonts w:ascii="Aptos" w:cs="Aptos" w:eastAsia="Aptos" w:hAnsi="Aptos"/>
          <w:color w:val="1A1A1A"/>
          <w:sz w:val="21"/>
          <w:szCs w:val="21"/>
        </w:rPr>
        <w:t xml:space="preserve">Für jeden Prozess dieselben Fragen: Wer oder was trägt ihn normal? Was, wenn das fehlt? Was, wenn auch die Vertretung fehlt? Jede Achse ohne dokumentierte Antwort ist eine einzelne Ausfallstelle.</w:t>
      </w:r>
    </w:p>
    <w:p>
      <w:pPr>
        <w:keepNext/>
        <w:spacing w:after="90" w:before="160"/>
      </w:pPr>
      <w:r>
        <w:rPr>
          <w:rFonts w:ascii="Aptos" w:cs="Aptos" w:eastAsia="Aptos" w:hAnsi="Aptos"/>
          <w:b/>
          <w:bCs/>
          <w:color w:val="5A5A5A"/>
          <w:sz w:val="18"/>
          <w:szCs w:val="18"/>
        </w:rPr>
        <w:t xml:space="preserve">Zeile Bsp.: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88"/>
        <w:gridCol w:w="1205"/>
        <w:gridCol w:w="1549"/>
        <w:gridCol w:w="1807"/>
        <w:gridCol w:w="1377"/>
        <w:gridCol w:w="1721"/>
        <w:gridCol w:w="1291"/>
      </w:tblGrid>
      <w:tr>
        <w:trPr>
          <w:tblHeader/>
        </w:trPr>
        <w:tc>
          <w:tcPr>
            <w:tcW w:type="dxa" w:w="6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Achse</w:t>
            </w:r>
          </w:p>
        </w:tc>
        <w:tc>
          <w:tcPr>
            <w:tcW w:type="dxa" w:w="15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Normalfall</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Vertretung / Ausweichlösung</w:t>
            </w:r>
          </w:p>
        </w:tc>
        <w:tc>
          <w:tcPr>
            <w:tcW w:type="dxa" w:w="13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Wenn auch diese fehlt</w:t>
            </w:r>
          </w:p>
        </w:tc>
        <w:tc>
          <w:tcPr>
            <w:tcW w:type="dxa" w:w="17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Schriftlich geregelt? (wo)</w:t>
            </w:r>
          </w:p>
        </w:tc>
        <w:tc>
          <w:tcPr>
            <w:tcW w:type="dxa" w:w="12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Lücke? (ja / nein)</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Bsp.</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Technologie</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PMS beim Gruppen-Check-in</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 manuelles Verfahren</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nein</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ja</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P1</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Person</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P1</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Technologie</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P1</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P2</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Person</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P2</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Technologie</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P2</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P3</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Person</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P3</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Technologie</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P3</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P4</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Person</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P4</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Technologie</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P4</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P5</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Person</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P5</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Technologie</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P5</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w:t>
            </w:r>
          </w:p>
        </w:tc>
        <w:tc>
          <w:tcPr>
            <w:tcW w:type="dxa" w:w="15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C. Schritt 3: Ausfallstellen priorisieren</w:t>
      </w:r>
    </w:p>
    <w:p>
      <w:pPr>
        <w:spacing w:after="140" w:before="0" w:line="300"/>
        <w:jc w:val="both"/>
      </w:pPr>
      <w:r>
        <w:rPr>
          <w:rFonts w:ascii="Aptos" w:cs="Aptos" w:eastAsia="Aptos" w:hAnsi="Aptos"/>
          <w:color w:val="1A1A1A"/>
          <w:sz w:val="21"/>
          <w:szCs w:val="21"/>
        </w:rPr>
        <w:t xml:space="preserve">Priorisiert wird nach Wahrscheinlichkeit des Ausfalls und Unmittelbarkeit der Gästewirkung. Für die Wahrscheinlichkeit lassen sich die Skalen des Risikoregisters verwenden.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62"/>
        <w:gridCol w:w="2262"/>
        <w:gridCol w:w="1967"/>
        <w:gridCol w:w="1180"/>
        <w:gridCol w:w="1967"/>
      </w:tblGrid>
      <w:tr>
        <w:trPr>
          <w:tblHeader/>
        </w:trPr>
        <w:tc>
          <w:tcPr>
            <w:tcW w:type="dxa" w:w="22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Ausfallstelle</w:t>
            </w:r>
          </w:p>
        </w:tc>
        <w:tc>
          <w:tcPr>
            <w:tcW w:type="dxa" w:w="22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Wahrscheinlichkeit</w:t>
            </w:r>
          </w:p>
        </w:tc>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Gästewirkung (unmittelbar / mittelbar)</w:t>
            </w:r>
          </w:p>
        </w:tc>
        <w:tc>
          <w:tcPr>
            <w:tcW w:type="dxa" w:w="1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Priorität</w:t>
            </w:r>
          </w:p>
        </w:tc>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Nr. im Risikoregister</w:t>
            </w:r>
          </w:p>
        </w:tc>
      </w:tr>
      <w:tr>
        <w:trPr>
          <w:cantSplit/>
        </w:trPr>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2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D. Kontinuitätsschwelle und tolerierbare Ausfallzeit</w:t>
      </w:r>
    </w:p>
    <w:p>
      <w:pPr>
        <w:spacing w:after="140" w:before="0" w:line="300"/>
        <w:jc w:val="both"/>
      </w:pPr>
      <w:r>
        <w:rPr>
          <w:rFonts w:ascii="Aptos" w:cs="Aptos" w:eastAsia="Aptos" w:hAnsi="Aptos"/>
          <w:color w:val="1A1A1A"/>
          <w:sz w:val="21"/>
          <w:szCs w:val="21"/>
        </w:rPr>
        <w:t xml:space="preserve">Kontinuität heißt nicht Exzellenz unter Druck. Sie heißt, nicht unter die Schwelle zu fallen, die der Gast noch als akzeptabel empfindet. Die tolerierbare Ausfallzeit dimensioniert den Plan.</w:t>
      </w:r>
    </w:p>
    <w:p>
      <w:pPr>
        <w:keepNext/>
        <w:spacing w:after="90" w:before="160"/>
      </w:pPr>
      <w:r>
        <w:rPr>
          <w:rFonts w:ascii="Aptos" w:cs="Aptos" w:eastAsia="Aptos" w:hAnsi="Aptos"/>
          <w:b/>
          <w:bCs/>
          <w:color w:val="5A5A5A"/>
          <w:sz w:val="18"/>
          <w:szCs w:val="18"/>
        </w:rPr>
        <w:t xml:space="preserve">Erste Zeile: Beispiel (Kompositfall, anzupassen). Die Werte sind je Haus zu bestimmen.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9"/>
        <w:gridCol w:w="3012"/>
        <w:gridCol w:w="2410"/>
        <w:gridCol w:w="2007"/>
      </w:tblGrid>
      <w:tr>
        <w:trPr>
          <w:tblHeader/>
        </w:trPr>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Kritischer Prozess</w:t>
            </w:r>
          </w:p>
        </w:tc>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Minimal akzeptables Niveau für den Gast</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Maximal tolerierbare Ausfallzeit</w:t>
            </w:r>
          </w:p>
        </w:tc>
        <w:tc>
          <w:tcPr>
            <w:tcW w:type="dxa" w:w="20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Greift der Plan rechtzeitig? (ja / nein)</w:t>
            </w:r>
          </w:p>
        </w:tc>
      </w:tr>
      <w:tr>
        <w:trPr>
          <w:cantSplit/>
        </w:trPr>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Check-in / PMS</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etwa 30 Minuten bei Gruppenanreise</w:t>
            </w:r>
          </w:p>
        </w:tc>
        <w:tc>
          <w:tcPr>
            <w:tcW w:type="dxa" w:w="20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E. Szenarien für Übung und Simulation</w:t>
      </w:r>
    </w:p>
    <w:p>
      <w:pPr>
        <w:spacing w:after="140" w:before="0" w:line="300"/>
        <w:jc w:val="both"/>
      </w:pPr>
      <w:r>
        <w:rPr>
          <w:rFonts w:ascii="Aptos" w:cs="Aptos" w:eastAsia="Aptos" w:hAnsi="Aptos"/>
          <w:color w:val="1A1A1A"/>
          <w:sz w:val="21"/>
          <w:szCs w:val="21"/>
        </w:rPr>
        <w:t xml:space="preserve">Die Szenarien stammen aus den Fällen des Buches. Mindestens eine Simulation gehört in den Jahreskalender, um das System zu prüfen, nicht um Schuldige zu finden.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542"/>
        <w:gridCol w:w="1349"/>
        <w:gridCol w:w="1157"/>
        <w:gridCol w:w="1349"/>
        <w:gridCol w:w="1350"/>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Szenario</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Prozess</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Achse</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 der Übung</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Ergebnis</w:t>
            </w:r>
          </w:p>
        </w:tc>
        <w:tc>
          <w:tcPr>
            <w:tcW w:type="dxa" w:w="13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Lehre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PMS fällt während der Anreise einer großen Gruppe aus</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Check-in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Technologie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Eine von zwei Frühstückskräften fällt aus</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Frühstück</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Hausdame und Stellvertreterin fehlen am selben Tag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Zimmerinspektion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Schwere Reklamation um zwei Uhr nachts</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Reklamation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 / Befugnis</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Einzige Wäscherei fällt für drei Wochen aus</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Wäscheversorgung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Lieferant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Küchenchef fällt ohne Vorlauf aus, Reservierungssystem offline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Restaurant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 / Technologie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Schlüsselperson kündigt mit vier Wochen Frist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Front Office</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F. Schritt 4: Kontingenzplan am Einsatzort</w:t>
      </w:r>
    </w:p>
    <w:p>
      <w:pPr>
        <w:spacing w:after="140" w:before="0" w:line="300"/>
        <w:jc w:val="both"/>
      </w:pPr>
      <w:r>
        <w:rPr>
          <w:rFonts w:ascii="Aptos" w:cs="Aptos" w:eastAsia="Aptos" w:hAnsi="Aptos"/>
          <w:color w:val="1A1A1A"/>
          <w:sz w:val="21"/>
          <w:szCs w:val="21"/>
        </w:rPr>
        <w:t xml:space="preserve">Ein Blatt je priorisierter Lücke. Es liegt dort, wo es unter Druck gebraucht wird, nicht im Ordner der Qualitätsbeauftragten.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5783"/>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Titel des Plans</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Auslöser: wann wird der Plan aktiviert?</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Wer aktiviert, mit welcher Befugnis?</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Mindestniveau für den Gast</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Schritt 1</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Schritt 2</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Schritt 3</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Schritt 4</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Schritt 5</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Schritt 6</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Benötigtes Material (z. B. Papier-Checkliste, Listen, Kontakte)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Aufbewahrungsort am Einsatzort</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Information an die Gäste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Rückkehr zum Normalbetrieb und Nacherfassung</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Letzte Übung / nächste Übung</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Version und Datum</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G. Lernen nach einer Störung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29"/>
        <w:gridCol w:w="1871"/>
        <w:gridCol w:w="1497"/>
        <w:gridCol w:w="1871"/>
        <w:gridCol w:w="2059"/>
        <w:gridCol w:w="1311"/>
      </w:tblGrid>
      <w:tr>
        <w:trPr>
          <w:tblHeader/>
        </w:trPr>
        <w:tc>
          <w:tcPr>
            <w:tcW w:type="dxa" w:w="10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18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Störung</w:t>
            </w:r>
          </w:p>
        </w:tc>
        <w:tc>
          <w:tcPr>
            <w:tcW w:type="dxa" w:w="149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Plan vorhanden und aktiviert?</w:t>
            </w:r>
          </w:p>
        </w:tc>
        <w:tc>
          <w:tcPr>
            <w:tcW w:type="dxa" w:w="18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lief gut / schlecht</w:t>
            </w:r>
          </w:p>
        </w:tc>
        <w:tc>
          <w:tcPr>
            <w:tcW w:type="dxa" w:w="205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Dauerhafte Prozessänderung</w:t>
            </w:r>
          </w:p>
        </w:tc>
        <w:tc>
          <w:tcPr>
            <w:tcW w:type="dxa" w:w="131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r>
      <w:tr>
        <w:trPr>
          <w:cantSplit/>
        </w:trPr>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H. Kompetenzverteilung und Indikatoren</w:t>
      </w:r>
    </w:p>
    <w:p>
      <w:pPr>
        <w:keepNext/>
        <w:spacing w:after="90" w:before="160"/>
      </w:pPr>
      <w:r>
        <w:rPr>
          <w:rFonts w:ascii="Aptos" w:cs="Aptos" w:eastAsia="Aptos" w:hAnsi="Aptos"/>
          <w:b/>
          <w:bCs/>
          <w:color w:val="5A5A5A"/>
          <w:sz w:val="18"/>
          <w:szCs w:val="18"/>
        </w:rPr>
        <w:t xml:space="preserve">H1 Keine wesentliche Kompetenz auf weniger als zwei Personen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31"/>
        <w:gridCol w:w="2921"/>
        <w:gridCol w:w="974"/>
        <w:gridCol w:w="1266"/>
        <w:gridCol w:w="1946"/>
      </w:tblGrid>
      <w:tr>
        <w:trPr>
          <w:tblHeader/>
        </w:trPr>
        <w:tc>
          <w:tcPr>
            <w:tcW w:type="dxa" w:w="25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Kritische Kompetenz</w:t>
            </w:r>
          </w:p>
        </w:tc>
        <w:tc>
          <w:tcPr>
            <w:tcW w:type="dxa" w:w="29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Personen, die sie besitzen</w:t>
            </w:r>
          </w:p>
        </w:tc>
        <w:tc>
          <w:tcPr>
            <w:tcW w:type="dxa" w:w="9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Anzahl</w:t>
            </w:r>
          </w:p>
        </w:tc>
        <w:tc>
          <w:tcPr>
            <w:tcW w:type="dxa" w:w="126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Mindestens zwei?</w:t>
            </w:r>
          </w:p>
        </w:tc>
        <w:tc>
          <w:tcPr>
            <w:tcW w:type="dxa" w:w="19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Schulungsplan</w:t>
            </w:r>
          </w:p>
        </w:tc>
      </w:tr>
      <w:tr>
        <w:trPr>
          <w:cantSplit/>
        </w:trPr>
        <w:tc>
          <w:tcPr>
            <w:tcW w:type="dxa" w:w="25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9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9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9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9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9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9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H2 Indikatoren für das Quartals-Cockpit der Leitung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7"/>
        <w:gridCol w:w="3815"/>
        <w:gridCol w:w="1004"/>
        <w:gridCol w:w="1004"/>
        <w:gridCol w:w="1004"/>
        <w:gridCol w:w="1004"/>
      </w:tblGrid>
      <w:tr>
        <w:trPr>
          <w:tblHeader/>
        </w:trPr>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Indikator</w:t>
            </w:r>
          </w:p>
        </w:tc>
        <w:tc>
          <w:tcPr>
            <w:tcW w:type="dxa" w:w="38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Berechnung</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Quartal 1</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Quartal 2</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Quartal 3</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Quartal 4</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Krisen ohne Plan</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Krisen ohne aktivierbaren Kontingenzplan / alle operativen Krisen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Kompetenzverteilung</w:t>
            </w:r>
          </w:p>
        </w:tc>
        <w:tc>
          <w:tcPr>
            <w:tcW w:type="dxa" w:w="38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Kritische Kompetenzen auf mindestens zwei Personen / alle kritischen Kompetenzen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H3 Reifestufe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51"/>
        <w:gridCol w:w="6152"/>
        <w:gridCol w:w="1435"/>
      </w:tblGrid>
      <w:tr>
        <w:trPr>
          <w:tblHeader/>
        </w:trPr>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615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Merkmal</w:t>
            </w:r>
          </w:p>
        </w:tc>
        <w:tc>
          <w:tcPr>
            <w:tcW w:type="dxa" w:w="14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Heute (ankreuzen)</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 Heldenabhängig</w:t>
            </w:r>
          </w:p>
        </w:tc>
        <w:tc>
          <w:tcPr>
            <w:tcW w:type="dxa" w:w="61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Krisen lösen Schlüsselpersonen; fehlen sie, hat das System keine Antwort.</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 Reaktiv</w:t>
            </w:r>
          </w:p>
        </w:tc>
        <w:tc>
          <w:tcPr>
            <w:tcW w:type="dxa" w:w="61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Verfahren für eingetretene Störungen, keine Vorwegnahme der wahrscheinlichen.</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Vorbereitet</w:t>
            </w:r>
          </w:p>
        </w:tc>
        <w:tc>
          <w:tcPr>
            <w:tcW w:type="dxa" w:w="61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Für die wahrscheinlichsten Störungen bestehen dokumentierte, geübte Pläne.</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 Lernend</w:t>
            </w:r>
          </w:p>
        </w:tc>
        <w:tc>
          <w:tcPr>
            <w:tcW w:type="dxa" w:w="61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Jede Störung verbessert die Pläne.</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Arbeitsblatt ersetzt nicht den Normtext der ISO 9001:2026, kein Betriebskontinuitätsmanagement nach ISO 22301 und keine Rechts- oder Zertifizierungsberatung. Szenarien und Werte stammen aus Kompositfällen des Buches und sind an das eigene Haus anzupassen. Die Entscheidungen trifft die Leitung des Hauses. Stand: 13. Oktober 2026.</w:t>
      </w:r>
    </w:p>
    <w:p>
      <w:pPr>
        <w:spacing w:after="140" w:before="0" w:line="300"/>
        <w:jc w:val="both"/>
      </w:pPr>
      <w:r>
        <w:rPr>
          <w:rFonts w:ascii="Aptos" w:cs="Aptos" w:eastAsia="Aptos" w:hAnsi="Aptos"/>
          <w:i/>
          <w:iCs/>
          <w:color w:val="1A1A1A"/>
          <w:sz w:val="21"/>
          <w:szCs w:val="21"/>
        </w:rPr>
        <w:t xml:space="preserve">Bezug im Buch: Band 2a, Abschnitt 1.3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2026-10-13T00:13:02.241Z</dcterms:created>
  <dcterms:modified xsi:type="dcterms:W3CDTF">2026-10-13T00:13:02.242Z</dcterms:modified>
</cp:coreProperties>
</file>

<file path=docProps/custom.xml><?xml version="1.0" encoding="utf-8"?>
<Properties xmlns="http://schemas.openxmlformats.org/officeDocument/2006/custom-properties" xmlns:vt="http://schemas.openxmlformats.org/officeDocument/2006/docPropsVTypes"/>
</file>