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ptos" w:cs="Aptos" w:eastAsia="Aptos" w:hAnsi="Aptos"/>
          <w:color w:val="5A5A5A"/>
          <w:sz w:val="18"/>
          <w:szCs w:val="18"/>
        </w:rPr>
        <w:t xml:space="preserve">Das Steuer und die Lupe · Band 2a · ISO 9001:2026</w:t>
      </w:r>
    </w:p>
    <w:p>
      <w:pPr>
        <w:spacing w:after="200"/>
      </w:pPr>
      <w:r>
        <w:rPr>
          <w:rFonts w:ascii="Aptos" w:cs="Aptos" w:eastAsia="Aptos" w:hAnsi="Aptos"/>
          <w:b/>
          <w:bCs/>
          <w:color w:val="8C5A2B"/>
          <w:sz w:val="18"/>
          <w:szCs w:val="18"/>
        </w:rPr>
        <w:t xml:space="preserve">ONLINE-MATERIAL ZU ABSCHNITT 1.5</w:t>
      </w:r>
    </w:p>
    <w:p>
      <w:pPr>
        <w:pStyle w:val="Heading1"/>
        <w:spacing w:after="120" w:line="360"/>
      </w:pPr>
      <w:r>
        <w:rPr>
          <w:rFonts w:ascii="Aptos" w:cs="Aptos" w:eastAsia="Aptos" w:hAnsi="Aptos"/>
          <w:b/>
          <w:bCs/>
          <w:color w:val="002060"/>
          <w:sz w:val="36"/>
          <w:szCs w:val="36"/>
        </w:rPr>
        <w:t xml:space="preserve">Steuerung von KI-Komponenten im Qualitätsmanagementsystem</w:t>
      </w:r>
    </w:p>
    <w:p>
      <w:pPr>
        <w:spacing w:after="200"/>
      </w:pPr>
      <w:r>
        <w:rPr>
          <w:rFonts w:ascii="Aptos" w:cs="Aptos" w:eastAsia="Aptos" w:hAnsi="Aptos"/>
          <w:i/>
          <w:iCs/>
          <w:color w:val="5A5A5A"/>
          <w:sz w:val="22"/>
          <w:szCs w:val="22"/>
        </w:rPr>
        <w:t xml:space="preserve">Arbeitsblatt: Inventar, Qualitätskriterien der Ergebnisse, Stichprobenprüfung und monatlicher Indikator</w:t>
      </w:r>
    </w:p>
    <w:p>
      <w:pPr>
        <w:pBdr>
          <w:bottom w:val="single" w:color="C9BBA6" w:sz="6" w:space="4"/>
        </w:pBdr>
        <w:spacing w:after="240"/>
      </w:pPr>
      <w:r>
        <w:rPr>
          <w:rFonts w:ascii="Aptos" w:cs="Aptos" w:eastAsia="Aptos" w:hAnsi="Aptos"/>
          <w:color w:val="5A5A5A"/>
          <w:sz w:val="17"/>
          <w:szCs w:val="17"/>
        </w:rPr>
        <w:t xml:space="preserve">Stand: 13. Oktober 2026 · buecher.effedore.com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80" w:line="300"/>
            </w:pPr>
            <w:r>
              <w:rPr>
                <w:rFonts w:ascii="Aptos" w:cs="Aptos" w:eastAsia="Aptos" w:hAnsi="Aptos"/>
                <w:b/>
                <w:bCs/>
                <w:color w:val="8C5A2B"/>
                <w:sz w:val="18"/>
                <w:szCs w:val="18"/>
              </w:rPr>
              <w:t xml:space="preserve">Einordnung </w:t>
            </w:r>
            <w:r>
              <w:rPr>
                <w:rFonts w:ascii="Aptos" w:cs="Aptos" w:eastAsia="Aptos" w:hAnsi="Aptos"/>
                <w:color w:val="1A1A1A"/>
                <w:sz w:val="21"/>
                <w:szCs w:val="21"/>
              </w:rPr>
              <w:t xml:space="preserve">Die ISO 9001:2026 führt keine eigene KI-Anforderung ein. Ein Prozess bleibt aber ein Prozess, ob ein Mensch oder ein Algorithmus ihn ausführt.</w:t>
            </w:r>
          </w:p>
          <w:p>
            <w:pPr>
              <w:spacing w:after="80" w:line="300"/>
            </w:pPr>
            <w:r>
              <w:rPr>
                <w:rFonts w:ascii="Aptos" w:cs="Aptos" w:eastAsia="Aptos" w:hAnsi="Aptos"/>
                <w:color w:val="1A1A1A"/>
                <w:sz w:val="21"/>
                <w:szCs w:val="21"/>
              </w:rPr>
              <w:t xml:space="preserve">KI-gestützte Prozesse fallen unter bestehende Anforderungen: Steuerung extern bereitgestellter Prozesse und Dienstleistungen (8.4), betriebliche Planung und Leistungserbringung (8.1, 8.5), Risiken und Chancen (6.1), Wissen und Bewusstsein (7.1.6, 7.3). Die Verantwortung für das Ergebnis bleibt beim Hotel, auch wenn ein Anbieter das System betreibt.</w:t>
            </w:r>
          </w:p>
          <w:p>
            <w:pPr>
              <w:spacing w:after="0" w:line="300"/>
            </w:pPr>
            <w:r>
              <w:rPr>
                <w:rFonts w:ascii="Aptos" w:cs="Aptos" w:eastAsia="Aptos" w:hAnsi="Aptos"/>
                <w:color w:val="1A1A1A"/>
                <w:sz w:val="21"/>
                <w:szCs w:val="21"/>
              </w:rPr>
              <w:t xml:space="preserve">KI-Governance im engeren Sinn regelt die ISO/IEC 42001:2023 als ergänzendes Managementsystem. Pflichten aus der EU-KI-Verordnung, dem Datenschutz- und dem Vertragsrecht sind gesondert zu prüfen.</w:t>
            </w:r>
          </w:p>
        </w:tc>
      </w:tr>
    </w:tbl>
    <w:p>
      <w:pPr>
        <w:spacing w:after="120"/>
      </w:pPr>
    </w:p>
    <w:p>
      <w:pPr>
        <w:spacing w:after="140" w:before="0" w:line="300"/>
        <w:jc w:val="both"/>
      </w:pPr>
      <w:r>
        <w:rPr>
          <w:rFonts w:ascii="Aptos" w:cs="Aptos" w:eastAsia="Aptos" w:hAnsi="Aptos"/>
          <w:b/>
          <w:bCs/>
          <w:color w:val="1A1A1A"/>
          <w:sz w:val="21"/>
          <w:szCs w:val="21"/>
        </w:rPr>
        <w:t xml:space="preserve">Wozu.</w:t>
      </w:r>
      <w:r>
        <w:rPr>
          <w:rFonts w:ascii="Aptos" w:cs="Aptos" w:eastAsia="Aptos" w:hAnsi="Aptos"/>
          <w:color w:val="1A1A1A"/>
          <w:sz w:val="21"/>
          <w:szCs w:val="21"/>
        </w:rPr>
        <w:t xml:space="preserve"> Das Arbeitsblatt bringt jedes System mit KI-Komponenten unter dieselbe Steuerung wie jeden anderen Prozess: Eingaben kennen, Kriterien festlegen, Ergebnisse prüfen, Abweichungen behandeln.</w:t>
      </w:r>
    </w:p>
    <w:p>
      <w:pPr>
        <w:spacing w:after="140" w:before="0" w:line="300"/>
        <w:jc w:val="both"/>
      </w:pPr>
      <w:r>
        <w:rPr>
          <w:rFonts w:ascii="Aptos" w:cs="Aptos" w:eastAsia="Aptos" w:hAnsi="Aptos"/>
          <w:b/>
          <w:bCs/>
          <w:color w:val="1A1A1A"/>
          <w:sz w:val="21"/>
          <w:szCs w:val="21"/>
        </w:rPr>
        <w:t xml:space="preserve">Wer.</w:t>
      </w:r>
      <w:r>
        <w:rPr>
          <w:rFonts w:ascii="Aptos" w:cs="Aptos" w:eastAsia="Aptos" w:hAnsi="Aptos"/>
          <w:color w:val="1A1A1A"/>
          <w:sz w:val="21"/>
          <w:szCs w:val="21"/>
        </w:rPr>
        <w:t xml:space="preserve"> Die fachlich verantwortlichen Bereiche (zum Beispiel Revenue, Front Office, Technik) mit der Qualitätsbeauftragten. Schwellen und Freigabegrenzen legt die Leitung fest.</w:t>
      </w:r>
    </w:p>
    <w:p>
      <w:pPr>
        <w:spacing w:after="140" w:before="0" w:line="300"/>
        <w:jc w:val="both"/>
      </w:pPr>
      <w:r>
        <w:rPr>
          <w:rFonts w:ascii="Aptos" w:cs="Aptos" w:eastAsia="Aptos" w:hAnsi="Aptos"/>
          <w:b/>
          <w:bCs/>
          <w:color w:val="1A1A1A"/>
          <w:sz w:val="21"/>
          <w:szCs w:val="21"/>
        </w:rPr>
        <w:t xml:space="preserve">Wann.</w:t>
      </w:r>
      <w:r>
        <w:rPr>
          <w:rFonts w:ascii="Aptos" w:cs="Aptos" w:eastAsia="Aptos" w:hAnsi="Aptos"/>
          <w:color w:val="1A1A1A"/>
          <w:sz w:val="21"/>
          <w:szCs w:val="21"/>
        </w:rPr>
        <w:t xml:space="preserve"> Vor der Einführung eines Systems, monatlich für den Indikator und bei jedem signifikanten Update des Anbieters.</w:t>
      </w:r>
    </w:p>
    <w:p>
      <w:pPr>
        <w:keepNext/>
        <w:spacing w:after="90" w:before="160"/>
      </w:pPr>
      <w:r>
        <w:rPr>
          <w:rFonts w:ascii="Aptos" w:cs="Aptos" w:eastAsia="Aptos" w:hAnsi="Aptos"/>
          <w:b/>
          <w:bCs/>
          <w:color w:val="5A5A5A"/>
          <w:sz w:val="18"/>
          <w:szCs w:val="18"/>
        </w:rPr>
        <w:t xml:space="preserve">Kopf</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14"/>
        <w:gridCol w:w="6024"/>
      </w:tblGrid>
      <w:tr>
        <w:trPr>
          <w:tblHeader/>
        </w:trPr>
        <w:tc>
          <w:tcPr>
            <w:tcW w:type="dxa" w:w="361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Feld</w:t>
            </w:r>
          </w:p>
        </w:tc>
        <w:tc>
          <w:tcPr>
            <w:tcW w:type="dxa" w:w="602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Eintrag</w:t>
            </w:r>
          </w:p>
        </w:tc>
      </w:tr>
      <w:tr>
        <w:trPr>
          <w:cantSplit/>
        </w:trPr>
        <w:tc>
          <w:tcPr>
            <w:tcW w:type="dxa" w:w="36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Haus</w:t>
            </w:r>
          </w:p>
        </w:tc>
        <w:tc>
          <w:tcPr>
            <w:tcW w:type="dxa" w:w="6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6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Stand der Bestandsaufnahme</w:t>
            </w:r>
          </w:p>
        </w:tc>
        <w:tc>
          <w:tcPr>
            <w:tcW w:type="dxa" w:w="6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6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Verantwortlich (Name, Funktion)</w:t>
            </w:r>
          </w:p>
        </w:tc>
        <w:tc>
          <w:tcPr>
            <w:tcW w:type="dxa" w:w="6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6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Freigegeben (Leitung)</w:t>
            </w:r>
          </w:p>
        </w:tc>
        <w:tc>
          <w:tcPr>
            <w:tcW w:type="dxa" w:w="6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120" w:before="280"/>
      </w:pPr>
      <w:r>
        <w:rPr>
          <w:rFonts w:ascii="Aptos" w:cs="Aptos" w:eastAsia="Aptos" w:hAnsi="Aptos"/>
          <w:b/>
          <w:bCs/>
          <w:color w:val="8C5A2B"/>
          <w:sz w:val="26"/>
          <w:szCs w:val="26"/>
        </w:rPr>
        <w:t xml:space="preserve">A. Inventar</w:t>
      </w:r>
    </w:p>
    <w:p>
      <w:pPr>
        <w:spacing w:after="140" w:before="0" w:line="300"/>
        <w:jc w:val="both"/>
      </w:pPr>
      <w:r>
        <w:rPr>
          <w:rFonts w:ascii="Aptos" w:cs="Aptos" w:eastAsia="Aptos" w:hAnsi="Aptos"/>
          <w:color w:val="1A1A1A"/>
          <w:sz w:val="21"/>
          <w:szCs w:val="21"/>
        </w:rPr>
        <w:t xml:space="preserve">Erfasst werden alle Systeme mit KI-Komponenten, auch jene, die im Haus als bloßes Werkzeug gelten. Die Kritikalität richtet sich nach Wirkung auf das Gästeerlebnis und Ersetzbarkeit, wie in Abschnitt 2.10.</w:t>
      </w:r>
    </w:p>
    <w:p>
      <w:pPr>
        <w:keepNext/>
        <w:spacing w:after="90" w:before="160"/>
      </w:pPr>
      <w:r>
        <w:rPr>
          <w:rFonts w:ascii="Aptos" w:cs="Aptos" w:eastAsia="Aptos" w:hAnsi="Aptos"/>
          <w:b/>
          <w:bCs/>
          <w:color w:val="5A5A5A"/>
          <w:sz w:val="18"/>
          <w:szCs w:val="18"/>
        </w:rPr>
        <w:t xml:space="preserve">Zeile K0: Beispiel (Kompositfall, anzupassen)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97"/>
        <w:gridCol w:w="1706"/>
        <w:gridCol w:w="2047"/>
        <w:gridCol w:w="1706"/>
        <w:gridCol w:w="682"/>
        <w:gridCol w:w="1279"/>
        <w:gridCol w:w="1621"/>
      </w:tblGrid>
      <w:tr>
        <w:trPr>
          <w:tblHeader/>
        </w:trPr>
        <w:tc>
          <w:tcPr>
            <w:tcW w:type="dxa" w:w="59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Nr.</w:t>
            </w:r>
          </w:p>
        </w:tc>
        <w:tc>
          <w:tcPr>
            <w:tcW w:type="dxa" w:w="170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System / Funktion</w:t>
            </w:r>
          </w:p>
        </w:tc>
        <w:tc>
          <w:tcPr>
            <w:tcW w:type="dxa" w:w="204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Entscheidungen (trifft oder beeinflusst)</w:t>
            </w:r>
          </w:p>
        </w:tc>
        <w:tc>
          <w:tcPr>
            <w:tcW w:type="dxa" w:w="170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Berührte Prozesse</w:t>
            </w:r>
          </w:p>
        </w:tc>
        <w:tc>
          <w:tcPr>
            <w:tcW w:type="dxa" w:w="68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8.4.1</w:t>
            </w:r>
          </w:p>
        </w:tc>
        <w:tc>
          <w:tcPr>
            <w:tcW w:type="dxa" w:w="127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Kritikalität</w:t>
            </w:r>
          </w:p>
        </w:tc>
        <w:tc>
          <w:tcPr>
            <w:tcW w:type="dxa" w:w="162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Verantwortlich</w:t>
            </w:r>
          </w:p>
        </w:tc>
      </w:tr>
      <w:tr>
        <w:trPr>
          <w:cantSplit/>
        </w:trPr>
        <w:tc>
          <w:tcPr>
            <w:tcW w:type="dxa" w:w="59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K0</w:t>
            </w:r>
          </w:p>
        </w:tc>
        <w:tc>
          <w:tcPr>
            <w:tcW w:type="dxa" w:w="17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Automatisiertes Revenue Management</w:t>
            </w:r>
          </w:p>
        </w:tc>
        <w:tc>
          <w:tcPr>
            <w:tcW w:type="dxa" w:w="204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Tarifanpassungen ohne manuelle Freigabe</w:t>
            </w:r>
          </w:p>
        </w:tc>
        <w:tc>
          <w:tcPr>
            <w:tcW w:type="dxa" w:w="17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Preisgestaltung, Leistungsversprechen</w:t>
            </w:r>
          </w:p>
        </w:tc>
        <w:tc>
          <w:tcPr>
            <w:tcW w:type="dxa" w:w="6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a / c</w:t>
            </w:r>
          </w:p>
        </w:tc>
        <w:tc>
          <w:tcPr>
            <w:tcW w:type="dxa" w:w="127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kritisch</w:t>
            </w:r>
          </w:p>
        </w:tc>
        <w:tc>
          <w:tcPr>
            <w:tcW w:type="dxa" w:w="16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Revenue Manager</w:t>
            </w:r>
          </w:p>
        </w:tc>
      </w:tr>
      <w:tr>
        <w:trPr>
          <w:cantSplit/>
        </w:trPr>
        <w:tc>
          <w:tcPr>
            <w:tcW w:type="dxa" w:w="59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7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04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6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7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59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7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04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6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7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59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7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04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6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7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59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7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04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6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7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59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7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04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6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7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59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7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04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6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7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spacing w:after="140" w:before="0" w:line="300"/>
        <w:jc w:val="both"/>
      </w:pPr>
      <w:r>
        <w:rPr>
          <w:rFonts w:ascii="Aptos" w:cs="Aptos" w:eastAsia="Aptos" w:hAnsi="Aptos"/>
          <w:color w:val="1A1A1A"/>
          <w:sz w:val="21"/>
          <w:szCs w:val="21"/>
        </w:rPr>
        <w:t xml:space="preserve">Fälle nach 8.4.1: </w:t>
      </w:r>
      <w:r>
        <w:rPr>
          <w:rFonts w:ascii="Aptos" w:cs="Aptos" w:eastAsia="Aptos" w:hAnsi="Aptos"/>
          <w:b/>
          <w:bCs/>
          <w:color w:val="1A1A1A"/>
          <w:sz w:val="21"/>
          <w:szCs w:val="21"/>
        </w:rPr>
        <w:t xml:space="preserve">a</w:t>
      </w:r>
      <w:r>
        <w:rPr>
          <w:rFonts w:ascii="Aptos" w:cs="Aptos" w:eastAsia="Aptos" w:hAnsi="Aptos"/>
          <w:color w:val="1A1A1A"/>
          <w:sz w:val="21"/>
          <w:szCs w:val="21"/>
        </w:rPr>
        <w:t xml:space="preserve"> Das Ergebnis fließt in die eigene Leistung ein. </w:t>
      </w:r>
      <w:r>
        <w:rPr>
          <w:rFonts w:ascii="Aptos" w:cs="Aptos" w:eastAsia="Aptos" w:hAnsi="Aptos"/>
          <w:b/>
          <w:bCs/>
          <w:color w:val="1A1A1A"/>
          <w:sz w:val="21"/>
          <w:szCs w:val="21"/>
        </w:rPr>
        <w:t xml:space="preserve">b</w:t>
      </w:r>
      <w:r>
        <w:rPr>
          <w:rFonts w:ascii="Aptos" w:cs="Aptos" w:eastAsia="Aptos" w:hAnsi="Aptos"/>
          <w:color w:val="1A1A1A"/>
          <w:sz w:val="21"/>
          <w:szCs w:val="21"/>
        </w:rPr>
        <w:t xml:space="preserve"> Es wird dem Gast unmittelbar im Namen des Hotels bereitgestellt, etwa durch einen Chatbot. </w:t>
      </w:r>
      <w:r>
        <w:rPr>
          <w:rFonts w:ascii="Aptos" w:cs="Aptos" w:eastAsia="Aptos" w:hAnsi="Aptos"/>
          <w:b/>
          <w:bCs/>
          <w:color w:val="1A1A1A"/>
          <w:sz w:val="21"/>
          <w:szCs w:val="21"/>
        </w:rPr>
        <w:t xml:space="preserve">c</w:t>
      </w:r>
      <w:r>
        <w:rPr>
          <w:rFonts w:ascii="Aptos" w:cs="Aptos" w:eastAsia="Aptos" w:hAnsi="Aptos"/>
          <w:color w:val="1A1A1A"/>
          <w:sz w:val="21"/>
          <w:szCs w:val="21"/>
        </w:rPr>
        <w:t xml:space="preserve"> Ein Prozess wird auf Entscheidung des Hotels extern erbracht.</w:t>
      </w:r>
    </w:p>
    <w:p>
      <w:pPr>
        <w:keepNext/>
        <w:spacing w:after="120" w:before="280"/>
      </w:pPr>
      <w:r>
        <w:rPr>
          <w:rFonts w:ascii="Aptos" w:cs="Aptos" w:eastAsia="Aptos" w:hAnsi="Aptos"/>
          <w:b/>
          <w:bCs/>
          <w:color w:val="8C5A2B"/>
          <w:sz w:val="26"/>
          <w:szCs w:val="26"/>
        </w:rPr>
        <w:t xml:space="preserve">B. Datenblatt je System</w:t>
      </w:r>
    </w:p>
    <w:p>
      <w:pPr>
        <w:spacing w:after="140" w:before="0" w:line="300"/>
        <w:jc w:val="both"/>
      </w:pPr>
      <w:r>
        <w:rPr>
          <w:rFonts w:ascii="Aptos" w:cs="Aptos" w:eastAsia="Aptos" w:hAnsi="Aptos"/>
          <w:color w:val="1A1A1A"/>
          <w:sz w:val="21"/>
          <w:szCs w:val="21"/>
        </w:rPr>
        <w:t xml:space="preserve">Die Kriterien werden vor der Überwachung festgelegt. Kriterien, die erst aus den Fehlern entstehen, kommen zu spät.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284"/>
        <w:gridCol w:w="5354"/>
      </w:tblGrid>
      <w:tr>
        <w:trPr>
          <w:tblHeader/>
        </w:trPr>
        <w:tc>
          <w:tcPr>
            <w:tcW w:type="dxa" w:w="428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Feld</w:t>
            </w:r>
          </w:p>
        </w:tc>
        <w:tc>
          <w:tcPr>
            <w:tcW w:type="dxa" w:w="535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Eintrag</w:t>
            </w:r>
          </w:p>
        </w:tc>
      </w:tr>
      <w:tr>
        <w:trPr>
          <w:cantSplit/>
        </w:trPr>
        <w:tc>
          <w:tcPr>
            <w:tcW w:type="dxa" w:w="42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System (Nr. aus dem Inventar)</w:t>
            </w:r>
          </w:p>
        </w:tc>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2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Welche Entscheidungen trifft oder beeinflusst es?</w:t>
            </w:r>
          </w:p>
        </w:tc>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2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Welche Qualitätsprozesse berührt es?</w:t>
            </w:r>
          </w:p>
        </w:tc>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2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Qualitätskriterien der Ergebnisse (was ist ein gutes Ergebnis?)</w:t>
            </w:r>
          </w:p>
        </w:tc>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2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Grenzen, oberhalb derer eine manuelle Freigabe nötig ist</w:t>
            </w:r>
          </w:p>
        </w:tc>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2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Stichprobe: Umfang, Frequenz, Methode</w:t>
            </w:r>
          </w:p>
        </w:tc>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2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Warnschwelle, die eine manuelle Überprüfung auslöst</w:t>
            </w:r>
          </w:p>
        </w:tc>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2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Manuelle Übersteuerung: wer, wie, wo dokumentiert</w:t>
            </w:r>
          </w:p>
        </w:tc>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2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Meldeweg des Personals für nicht konforme Ergebnisse</w:t>
            </w:r>
          </w:p>
        </w:tc>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2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Dem Anbieter mitgeteilte Anforderungen (8.4.3), Datum</w:t>
            </w:r>
          </w:p>
        </w:tc>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2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Vertragliche Regelung zu Updates und Ankündigungen</w:t>
            </w:r>
          </w:p>
        </w:tc>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2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Eintrag im Risikoregister (Nr.) / im Chancenregister (Nr.)</w:t>
            </w:r>
          </w:p>
        </w:tc>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2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Rechtliche Prüfung (KI-Verordnung, Datenschutz): durch wen, am</w:t>
            </w:r>
          </w:p>
        </w:tc>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120" w:before="280"/>
      </w:pPr>
      <w:r>
        <w:rPr>
          <w:rFonts w:ascii="Aptos" w:cs="Aptos" w:eastAsia="Aptos" w:hAnsi="Aptos"/>
          <w:b/>
          <w:bCs/>
          <w:color w:val="8C5A2B"/>
          <w:sz w:val="26"/>
          <w:szCs w:val="26"/>
        </w:rPr>
        <w:t xml:space="preserve">C. Kriterien und Schwellen nach Systemtyp</w:t>
      </w:r>
    </w:p>
    <w:p>
      <w:pPr>
        <w:spacing w:after="140" w:before="0" w:line="300"/>
        <w:jc w:val="both"/>
      </w:pPr>
      <w:r>
        <w:rPr>
          <w:rFonts w:ascii="Aptos" w:cs="Aptos" w:eastAsia="Aptos" w:hAnsi="Aptos"/>
          <w:color w:val="1A1A1A"/>
          <w:sz w:val="21"/>
          <w:szCs w:val="21"/>
        </w:rPr>
        <w:t xml:space="preserve">Die Werte der Beispielspalte stammen aus dem Kompositfall des Buches. Jedes Haus legt eigene Werte fest.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67"/>
        <w:gridCol w:w="1967"/>
        <w:gridCol w:w="3344"/>
        <w:gridCol w:w="2360"/>
      </w:tblGrid>
      <w:tr>
        <w:trPr>
          <w:tblHeader/>
        </w:trPr>
        <w:tc>
          <w:tcPr>
            <w:tcW w:type="dxa" w:w="196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Systemtyp</w:t>
            </w:r>
          </w:p>
        </w:tc>
        <w:tc>
          <w:tcPr>
            <w:tcW w:type="dxa" w:w="196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Hauptrisiko</w:t>
            </w:r>
          </w:p>
        </w:tc>
        <w:tc>
          <w:tcPr>
            <w:tcW w:type="dxa" w:w="334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Kriterium / Schwelle im Buchfall</w:t>
            </w:r>
          </w:p>
        </w:tc>
        <w:tc>
          <w:tcPr>
            <w:tcW w:type="dxa" w:w="236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Kriterium im Haus</w:t>
            </w:r>
          </w:p>
        </w:tc>
      </w:tr>
      <w:tr>
        <w:trPr>
          <w:cantSplit/>
        </w:trPr>
        <w:tc>
          <w:tcPr>
            <w:tcW w:type="dxa" w:w="19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Revenue Management</w:t>
            </w:r>
          </w:p>
        </w:tc>
        <w:tc>
          <w:tcPr>
            <w:tcW w:type="dxa" w:w="19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Drift, Tarif-Ungleichheit</w:t>
            </w:r>
          </w:p>
        </w:tc>
        <w:tc>
          <w:tcPr>
            <w:tcW w:type="dxa" w:w="334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höchstens 40 % Tarifabstand gleicher Kategorie am selben Tag, darüber manuelle Freigabe</w:t>
            </w:r>
          </w:p>
        </w:tc>
        <w:tc>
          <w:tcPr>
            <w:tcW w:type="dxa" w:w="23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9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Chatbot</w:t>
            </w:r>
          </w:p>
        </w:tc>
        <w:tc>
          <w:tcPr>
            <w:tcW w:type="dxa" w:w="19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veraltete Wissensbasis</w:t>
            </w:r>
          </w:p>
        </w:tc>
        <w:tc>
          <w:tcPr>
            <w:tcW w:type="dxa" w:w="334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Aktualisierung bei jeder Änderung von Zeiten, Preisen oder Bedingungen; vierteljährliche Stichprobe</w:t>
            </w:r>
          </w:p>
        </w:tc>
        <w:tc>
          <w:tcPr>
            <w:tcW w:type="dxa" w:w="23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9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Sentiment-Analyse</w:t>
            </w:r>
          </w:p>
        </w:tc>
        <w:tc>
          <w:tcPr>
            <w:tcW w:type="dxa" w:w="19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Fehlklassifikation</w:t>
            </w:r>
          </w:p>
        </w:tc>
        <w:tc>
          <w:tcPr>
            <w:tcW w:type="dxa" w:w="334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vierteljährliche Stichprobe gegen manuelle Lesung</w:t>
            </w:r>
          </w:p>
        </w:tc>
        <w:tc>
          <w:tcPr>
            <w:tcW w:type="dxa" w:w="23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9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Vorausschauende Instandhaltung</w:t>
            </w:r>
          </w:p>
        </w:tc>
        <w:tc>
          <w:tcPr>
            <w:tcW w:type="dxa" w:w="19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Fehlalarm, verpasster Alarm</w:t>
            </w:r>
          </w:p>
        </w:tc>
        <w:tc>
          <w:tcPr>
            <w:tcW w:type="dxa" w:w="334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Vorhersagen werden in dokumentierte Maßnahmen übersetzt</w:t>
            </w:r>
          </w:p>
        </w:tc>
        <w:tc>
          <w:tcPr>
            <w:tcW w:type="dxa" w:w="23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9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Automatische Antworten auf Bewertungen</w:t>
            </w:r>
          </w:p>
        </w:tc>
        <w:tc>
          <w:tcPr>
            <w:tcW w:type="dxa" w:w="19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falscher Ton, falsche Aussage</w:t>
            </w:r>
          </w:p>
        </w:tc>
        <w:tc>
          <w:tcPr>
            <w:tcW w:type="dxa" w:w="334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Ton, Richtigkeit und Markenkohärenz stichprobenartig geprüft</w:t>
            </w:r>
          </w:p>
        </w:tc>
        <w:tc>
          <w:tcPr>
            <w:tcW w:type="dxa" w:w="23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9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9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334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3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Hinweis aus dem Buch </w:t>
            </w:r>
            <w:r>
              <w:rPr>
                <w:rFonts w:ascii="Aptos" w:cs="Aptos" w:eastAsia="Aptos" w:hAnsi="Aptos"/>
                <w:color w:val="1A1A1A"/>
                <w:sz w:val="21"/>
                <w:szCs w:val="21"/>
              </w:rPr>
              <w:t xml:space="preserve">Für Chatbots nennt der Band eine Transparenzpflicht: Der Gast muss erkennen können, dass er mit einer Maschine schreibt. Ob und wie sie für das eigene System gilt, ist rechtlich zu prüfen, auch nach jedem Update.</w:t>
            </w:r>
          </w:p>
        </w:tc>
      </w:tr>
    </w:tbl>
    <w:p>
      <w:pPr>
        <w:spacing w:after="120"/>
      </w:pPr>
    </w:p>
    <w:p>
      <w:pPr>
        <w:keepNext/>
        <w:spacing w:after="120" w:before="280"/>
      </w:pPr>
      <w:r>
        <w:rPr>
          <w:rFonts w:ascii="Aptos" w:cs="Aptos" w:eastAsia="Aptos" w:hAnsi="Aptos"/>
          <w:b/>
          <w:bCs/>
          <w:color w:val="8C5A2B"/>
          <w:sz w:val="26"/>
          <w:szCs w:val="26"/>
        </w:rPr>
        <w:t xml:space="preserve">D. Prüfprotokoll der Stichproben</w:t>
      </w:r>
    </w:p>
    <w:p>
      <w:pPr>
        <w:spacing w:after="140" w:before="0" w:line="300"/>
        <w:jc w:val="both"/>
      </w:pPr>
      <w:r>
        <w:rPr>
          <w:rFonts w:ascii="Aptos" w:cs="Aptos" w:eastAsia="Aptos" w:hAnsi="Aptos"/>
          <w:color w:val="1A1A1A"/>
          <w:sz w:val="21"/>
          <w:szCs w:val="21"/>
        </w:rPr>
        <w:t xml:space="preserve">Weil Vollprüfung unmöglich ist, wird stichprobenartig geprüft. Im Buchfall löst eine Überschreitung der Schwelle bei mehr als fünf Prozent der geprüften Tarife eine manuelle Überprüfung aus.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82"/>
        <w:gridCol w:w="1249"/>
        <w:gridCol w:w="1160"/>
        <w:gridCol w:w="982"/>
        <w:gridCol w:w="892"/>
        <w:gridCol w:w="1517"/>
        <w:gridCol w:w="1785"/>
        <w:gridCol w:w="1071"/>
      </w:tblGrid>
      <w:tr>
        <w:trPr>
          <w:tblHeader/>
        </w:trPr>
        <w:tc>
          <w:tcPr>
            <w:tcW w:type="dxa" w:w="98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Datum</w:t>
            </w:r>
          </w:p>
        </w:tc>
        <w:tc>
          <w:tcPr>
            <w:tcW w:type="dxa" w:w="12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System</w:t>
            </w:r>
          </w:p>
        </w:tc>
        <w:tc>
          <w:tcPr>
            <w:tcW w:type="dxa" w:w="116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Stichprobe</w:t>
            </w:r>
          </w:p>
        </w:tc>
        <w:tc>
          <w:tcPr>
            <w:tcW w:type="dxa" w:w="98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Konform</w:t>
            </w:r>
          </w:p>
        </w:tc>
        <w:tc>
          <w:tcPr>
            <w:tcW w:type="dxa" w:w="89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Anteil</w:t>
            </w:r>
          </w:p>
        </w:tc>
        <w:tc>
          <w:tcPr>
            <w:tcW w:type="dxa" w:w="151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Schwelle überschritten?</w:t>
            </w:r>
          </w:p>
        </w:tc>
        <w:tc>
          <w:tcPr>
            <w:tcW w:type="dxa" w:w="178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Maßnahme / Meldung</w:t>
            </w:r>
          </w:p>
        </w:tc>
        <w:tc>
          <w:tcPr>
            <w:tcW w:type="dxa" w:w="107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Prüfer</w:t>
            </w:r>
          </w:p>
        </w:tc>
      </w:tr>
      <w:tr>
        <w:trPr>
          <w:cantSplit/>
        </w:trPr>
        <w:tc>
          <w:tcPr>
            <w:tcW w:type="dxa" w:w="9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2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9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8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9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2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9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8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9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2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9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8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9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2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9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8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9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2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9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8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9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2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9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8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9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2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9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8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120" w:before="280"/>
      </w:pPr>
      <w:r>
        <w:rPr>
          <w:rFonts w:ascii="Aptos" w:cs="Aptos" w:eastAsia="Aptos" w:hAnsi="Aptos"/>
          <w:b/>
          <w:bCs/>
          <w:color w:val="8C5A2B"/>
          <w:sz w:val="26"/>
          <w:szCs w:val="26"/>
        </w:rPr>
        <w:t xml:space="preserve">E. Monatlicher Indikator</w:t>
      </w:r>
    </w:p>
    <w:p>
      <w:pPr>
        <w:spacing w:after="140" w:before="0" w:line="300"/>
        <w:jc w:val="both"/>
      </w:pPr>
      <w:r>
        <w:rPr>
          <w:rFonts w:ascii="Aptos" w:cs="Aptos" w:eastAsia="Aptos" w:hAnsi="Aptos"/>
          <w:color w:val="1A1A1A"/>
          <w:sz w:val="21"/>
          <w:szCs w:val="21"/>
        </w:rPr>
        <w:t xml:space="preserve">Für jedes kritische System: Anteil der geprüften Ergebnisse, die die festgelegten Kriterien erfüllen. Daneben die Zahl der Meldungen nicht konformer Ergebnisse durch das Personal.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19"/>
        <w:gridCol w:w="1116"/>
        <w:gridCol w:w="1116"/>
        <w:gridCol w:w="1116"/>
        <w:gridCol w:w="1116"/>
        <w:gridCol w:w="1420"/>
        <w:gridCol w:w="2435"/>
      </w:tblGrid>
      <w:tr>
        <w:trPr>
          <w:tblHeader/>
        </w:trPr>
        <w:tc>
          <w:tcPr>
            <w:tcW w:type="dxa" w:w="131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Monat</w:t>
            </w:r>
          </w:p>
        </w:tc>
        <w:tc>
          <w:tcPr>
            <w:tcW w:type="dxa" w:w="111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System 1</w:t>
            </w:r>
          </w:p>
        </w:tc>
        <w:tc>
          <w:tcPr>
            <w:tcW w:type="dxa" w:w="111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System 2</w:t>
            </w:r>
          </w:p>
        </w:tc>
        <w:tc>
          <w:tcPr>
            <w:tcW w:type="dxa" w:w="111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System 3</w:t>
            </w:r>
          </w:p>
        </w:tc>
        <w:tc>
          <w:tcPr>
            <w:tcW w:type="dxa" w:w="111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System 4</w:t>
            </w:r>
          </w:p>
        </w:tc>
        <w:tc>
          <w:tcPr>
            <w:tcW w:type="dxa" w:w="142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Meldungen des Personals</w:t>
            </w:r>
          </w:p>
        </w:tc>
        <w:tc>
          <w:tcPr>
            <w:tcW w:type="dxa" w:w="243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Kommentar</w:t>
            </w:r>
          </w:p>
        </w:tc>
      </w:tr>
      <w:tr>
        <w:trPr>
          <w:cantSplit/>
        </w:trPr>
        <w:tc>
          <w:tcPr>
            <w:tcW w:type="dxa" w:w="13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1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4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4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3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1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4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4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3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1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4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4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3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1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4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4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3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1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4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4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3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1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4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4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229"/>
        <w:gridCol w:w="2409"/>
      </w:tblGrid>
      <w:tr>
        <w:trPr>
          <w:tblHeader/>
        </w:trPr>
        <w:tc>
          <w:tcPr>
            <w:tcW w:type="dxa" w:w="722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Reifeindikator</w:t>
            </w:r>
          </w:p>
        </w:tc>
        <w:tc>
          <w:tcPr>
            <w:tcW w:type="dxa" w:w="240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Wert</w:t>
            </w:r>
          </w:p>
        </w:tc>
      </w:tr>
      <w:tr>
        <w:trPr>
          <w:cantSplit/>
        </w:trPr>
        <w:tc>
          <w:tcPr>
            <w:tcW w:type="dxa" w:w="72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Systeme mit festgelegten Kriterien, Stichprobenprüfung und Meldeweg / alle eingesetzten KI-Systeme</w:t>
            </w:r>
          </w:p>
        </w:tc>
        <w:tc>
          <w:tcPr>
            <w:tcW w:type="dxa" w:w="240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120" w:before="280"/>
      </w:pPr>
      <w:r>
        <w:rPr>
          <w:rFonts w:ascii="Aptos" w:cs="Aptos" w:eastAsia="Aptos" w:hAnsi="Aptos"/>
          <w:b/>
          <w:bCs/>
          <w:color w:val="8C5A2B"/>
          <w:sz w:val="26"/>
          <w:szCs w:val="26"/>
        </w:rPr>
        <w:t xml:space="preserve">F. Updates und Änderungen</w:t>
      </w:r>
    </w:p>
    <w:p>
      <w:pPr>
        <w:spacing w:after="140" w:before="0" w:line="300"/>
        <w:jc w:val="both"/>
      </w:pPr>
      <w:r>
        <w:rPr>
          <w:rFonts w:ascii="Aptos" w:cs="Aptos" w:eastAsia="Aptos" w:hAnsi="Aptos"/>
          <w:color w:val="1A1A1A"/>
          <w:sz w:val="21"/>
          <w:szCs w:val="21"/>
        </w:rPr>
        <w:t xml:space="preserve">Jedes signifikante Update des Anbieters löst eine Überprüfung der Kriterien und der Überwachung aus. Ein Wechsel des Anbieters kann zusätzlich eine geplante Änderung nach 6.3 sein.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00"/>
        <w:gridCol w:w="1182"/>
        <w:gridCol w:w="1818"/>
        <w:gridCol w:w="1364"/>
        <w:gridCol w:w="1455"/>
        <w:gridCol w:w="1364"/>
        <w:gridCol w:w="1455"/>
      </w:tblGrid>
      <w:tr>
        <w:trPr>
          <w:tblHeader/>
        </w:trPr>
        <w:tc>
          <w:tcPr>
            <w:tcW w:type="dxa" w:w="100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Datum</w:t>
            </w:r>
          </w:p>
        </w:tc>
        <w:tc>
          <w:tcPr>
            <w:tcW w:type="dxa" w:w="118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System</w:t>
            </w:r>
          </w:p>
        </w:tc>
        <w:tc>
          <w:tcPr>
            <w:tcW w:type="dxa" w:w="181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Update / Änderung</w:t>
            </w:r>
          </w:p>
        </w:tc>
        <w:tc>
          <w:tcPr>
            <w:tcW w:type="dxa" w:w="136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Kriterien geprüft?</w:t>
            </w:r>
          </w:p>
        </w:tc>
        <w:tc>
          <w:tcPr>
            <w:tcW w:type="dxa" w:w="145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Einstufung neu geprüft?</w:t>
            </w:r>
          </w:p>
        </w:tc>
        <w:tc>
          <w:tcPr>
            <w:tcW w:type="dxa" w:w="136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Ergebnis</w:t>
            </w:r>
          </w:p>
        </w:tc>
        <w:tc>
          <w:tcPr>
            <w:tcW w:type="dxa" w:w="145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Unterschrift</w:t>
            </w:r>
          </w:p>
        </w:tc>
      </w:tr>
      <w:tr>
        <w:trPr>
          <w:cantSplit/>
        </w:trPr>
        <w:tc>
          <w:tcPr>
            <w:tcW w:type="dxa" w:w="100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1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8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00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1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8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00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1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8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00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1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8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00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1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8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00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1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8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120" w:before="280"/>
      </w:pPr>
      <w:r>
        <w:rPr>
          <w:rFonts w:ascii="Aptos" w:cs="Aptos" w:eastAsia="Aptos" w:hAnsi="Aptos"/>
          <w:b/>
          <w:bCs/>
          <w:color w:val="8C5A2B"/>
          <w:sz w:val="26"/>
          <w:szCs w:val="26"/>
        </w:rPr>
        <w:t xml:space="preserve">G. Schulung und Reifestufe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51"/>
        <w:gridCol w:w="1435"/>
        <w:gridCol w:w="4101"/>
        <w:gridCol w:w="2051"/>
      </w:tblGrid>
      <w:tr>
        <w:trPr>
          <w:tblHeader/>
        </w:trPr>
        <w:tc>
          <w:tcPr>
            <w:tcW w:type="dxa" w:w="205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Bereich</w:t>
            </w:r>
          </w:p>
        </w:tc>
        <w:tc>
          <w:tcPr>
            <w:tcW w:type="dxa" w:w="143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Geschult am</w:t>
            </w:r>
          </w:p>
        </w:tc>
        <w:tc>
          <w:tcPr>
            <w:tcW w:type="dxa" w:w="410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Inhalt: was die Systeme tun, welche Kriterien gelten, wie gemeldet wird</w:t>
            </w:r>
          </w:p>
        </w:tc>
        <w:tc>
          <w:tcPr>
            <w:tcW w:type="dxa" w:w="205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Meldeweg bekannt? (Stichprobe)</w:t>
            </w:r>
          </w:p>
        </w:tc>
      </w:tr>
      <w:tr>
        <w:trPr>
          <w:cantSplit/>
        </w:trPr>
        <w:tc>
          <w:tcPr>
            <w:tcW w:type="dxa" w:w="205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14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41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05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05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14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41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05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05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14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41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05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05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14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41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05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05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14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41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05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05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14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41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05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886"/>
        <w:gridCol w:w="6286"/>
        <w:gridCol w:w="1466"/>
      </w:tblGrid>
      <w:tr>
        <w:trPr>
          <w:tblHeader/>
        </w:trPr>
        <w:tc>
          <w:tcPr>
            <w:tcW w:type="dxa" w:w="188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Stufe</w:t>
            </w:r>
          </w:p>
        </w:tc>
        <w:tc>
          <w:tcPr>
            <w:tcW w:type="dxa" w:w="628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Merkmal</w:t>
            </w:r>
          </w:p>
        </w:tc>
        <w:tc>
          <w:tcPr>
            <w:tcW w:type="dxa" w:w="146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Heute (ankreuzen)</w:t>
            </w:r>
          </w:p>
        </w:tc>
      </w:tr>
      <w:tr>
        <w:trPr>
          <w:cantSplit/>
        </w:trPr>
        <w:tc>
          <w:tcPr>
            <w:tcW w:type="dxa" w:w="188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1 Blind</w:t>
            </w:r>
          </w:p>
        </w:tc>
        <w:tc>
          <w:tcPr>
            <w:tcW w:type="dxa" w:w="628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KI-Systeme laufen, das Qualitätssystem weiß nichts von ihnen.</w:t>
            </w:r>
          </w:p>
        </w:tc>
        <w:tc>
          <w:tcPr>
            <w:tcW w:type="dxa" w:w="146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88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2 Bewusst</w:t>
            </w:r>
          </w:p>
        </w:tc>
        <w:tc>
          <w:tcPr>
            <w:tcW w:type="dxa" w:w="628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Die Systeme sind erfasst, aber nicht überwacht.</w:t>
            </w:r>
          </w:p>
        </w:tc>
        <w:tc>
          <w:tcPr>
            <w:tcW w:type="dxa" w:w="146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88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3 Gesteuert</w:t>
            </w:r>
          </w:p>
        </w:tc>
        <w:tc>
          <w:tcPr>
            <w:tcW w:type="dxa" w:w="628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Für jedes System bestehen Kriterien, Schwellen und ein Meldeweg.</w:t>
            </w:r>
          </w:p>
        </w:tc>
        <w:tc>
          <w:tcPr>
            <w:tcW w:type="dxa" w:w="146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88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4 Integriert</w:t>
            </w:r>
          </w:p>
        </w:tc>
        <w:tc>
          <w:tcPr>
            <w:tcW w:type="dxa" w:w="628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Die Steuerung ist Teil des Qualitätsmanagementsystems und wird bei jedem Update geprüft.</w:t>
            </w:r>
          </w:p>
        </w:tc>
        <w:tc>
          <w:tcPr>
            <w:tcW w:type="dxa" w:w="146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120" w:before="280"/>
      </w:pPr>
      <w:r>
        <w:rPr>
          <w:rFonts w:ascii="Aptos" w:cs="Aptos" w:eastAsia="Aptos" w:hAnsi="Aptos"/>
          <w:b/>
          <w:bCs/>
          <w:color w:val="8C5A2B"/>
          <w:sz w:val="26"/>
          <w:szCs w:val="26"/>
        </w:rPr>
        <w:t xml:space="preserve">Was dieses Material nicht ist</w:t>
      </w:r>
    </w:p>
    <w:p>
      <w:pPr>
        <w:spacing w:after="140" w:before="0" w:line="300"/>
        <w:jc w:val="both"/>
      </w:pPr>
      <w:r>
        <w:rPr>
          <w:rFonts w:ascii="Aptos" w:cs="Aptos" w:eastAsia="Aptos" w:hAnsi="Aptos"/>
          <w:color w:val="1A1A1A"/>
          <w:sz w:val="21"/>
          <w:szCs w:val="21"/>
        </w:rPr>
        <w:t xml:space="preserve">Dieses Arbeitsblatt ersetzt nicht den Normtext der ISO 9001:2026, kein KI-Managementsystem nach ISO/IEC 42001 und keine Rechtsberatung zur EU-KI-Verordnung oder zum Datenschutz. Es ist auch keine Zertifizierungsberatung. Kriterien und Schwellen sind an das eigene Haus anzupassen; die Verantwortung bleibt bei seiner Leitung. Stand: 13. Oktober 2026.</w:t>
      </w:r>
    </w:p>
    <w:p>
      <w:pPr>
        <w:spacing w:after="140" w:before="0" w:line="300"/>
        <w:jc w:val="both"/>
      </w:pPr>
      <w:r>
        <w:rPr>
          <w:rFonts w:ascii="Aptos" w:cs="Aptos" w:eastAsia="Aptos" w:hAnsi="Aptos"/>
          <w:i/>
          <w:iCs/>
          <w:color w:val="1A1A1A"/>
          <w:sz w:val="21"/>
          <w:szCs w:val="21"/>
        </w:rPr>
        <w:t xml:space="preserve">Bezug im Buch: Band 2a, Abschnitt 1.5 (ergänzend Abschnitt 2.10)</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5A5A5A"/>
        <w:sz w:val="16"/>
        <w:szCs w:val="16"/>
      </w:rPr>
      <w:t xml:space="preserve">Francesco Dore · Das Steuer und die Lupe · Band 2a · Seite </w:t>
    </w:r>
    <w:r>
      <w:rPr>
        <w:rFonts w:ascii="Aptos" w:cs="Aptos" w:eastAsia="Aptos" w:hAnsi="Aptos"/>
        <w:color w:val="5A5A5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ptos" w:cs="Aptos" w:eastAsia="Aptos" w:hAnsi="Aptos"/>
      <w:b/>
      <w:bCs/>
      <w:color w:val="002060"/>
      <w:sz w:val="36"/>
      <w:szCs w:val="3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Francesco Dore</dc:creator>
  <cp:lastModifiedBy>Un-named</cp:lastModifiedBy>
  <cp:revision>1</cp:revision>
  <dcterms:created xsi:type="dcterms:W3CDTF">2026-10-13T00:12:09.783Z</dcterms:created>
  <dcterms:modified xsi:type="dcterms:W3CDTF">2026-10-13T00:12:09.783Z</dcterms:modified>
</cp:coreProperties>
</file>

<file path=docProps/custom.xml><?xml version="1.0" encoding="utf-8"?>
<Properties xmlns="http://schemas.openxmlformats.org/officeDocument/2006/custom-properties" xmlns:vt="http://schemas.openxmlformats.org/officeDocument/2006/docPropsVTypes"/>
</file>