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VORLAGE ZU DEN ABSCHNITTEN 2.11, 2.12 UND 1.12</w:t>
      </w:r>
    </w:p>
    <w:p>
      <w:pPr>
        <w:pStyle w:val="Heading1"/>
        <w:spacing w:after="120" w:line="360"/>
      </w:pPr>
      <w:r>
        <w:rPr>
          <w:rFonts w:ascii="Aptos" w:cs="Aptos" w:eastAsia="Aptos" w:hAnsi="Aptos"/>
          <w:b/>
          <w:bCs/>
          <w:color w:val="002060"/>
          <w:sz w:val="36"/>
          <w:szCs w:val="36"/>
        </w:rPr>
        <w:t xml:space="preserve">Entscheidungsprotokoll der Leitung</w:t>
      </w:r>
    </w:p>
    <w:p>
      <w:pPr>
        <w:spacing w:after="200"/>
      </w:pPr>
      <w:r>
        <w:rPr>
          <w:rFonts w:ascii="Aptos" w:cs="Aptos" w:eastAsia="Aptos" w:hAnsi="Aptos"/>
          <w:i/>
          <w:iCs/>
          <w:color w:val="5A5A5A"/>
          <w:sz w:val="22"/>
          <w:szCs w:val="22"/>
        </w:rPr>
        <w:t xml:space="preserve">Für Managementbewertung und Governance-Sitzungen: Anlass, Eingaben, Optionen, Entscheidung, Ressourcen, Verantwortung, Frist, Wirksamkeitskontrolle</w:t>
      </w:r>
    </w:p>
    <w:p>
      <w:pPr>
        <w:pBdr>
          <w:bottom w:val="single" w:color="C9BBA6" w:sz="6" w:space="4"/>
        </w:pBdr>
        <w:spacing w:after="240"/>
      </w:pPr>
      <w:r>
        <w:rPr>
          <w:rFonts w:ascii="Aptos" w:cs="Aptos" w:eastAsia="Aptos" w:hAnsi="Aptos"/>
          <w:color w:val="5A5A5A"/>
          <w:sz w:val="17"/>
          <w:szCs w:val="17"/>
        </w:rPr>
        <w:t xml:space="preserve">Stand: 13. Oktober 2026 · buecher.effedore.com</w:t>
      </w:r>
    </w:p>
    <w:p>
      <w:pPr>
        <w:keepNext/>
        <w:spacing w:after="90" w:before="160"/>
      </w:pPr>
      <w:r>
        <w:rPr>
          <w:rFonts w:ascii="Aptos" w:cs="Aptos" w:eastAsia="Aptos" w:hAnsi="Aptos"/>
          <w:b/>
          <w:bCs/>
          <w:color w:val="5A5A5A"/>
          <w:sz w:val="18"/>
          <w:szCs w:val="18"/>
        </w:rPr>
        <w:t xml:space="preserve">Dokumentkopf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39"/>
        <w:gridCol w:w="2780"/>
        <w:gridCol w:w="2039"/>
        <w:gridCol w:w="2780"/>
      </w:tblGrid>
      <w:tr>
        <w:trPr>
          <w:tblHeader/>
        </w:trPr>
        <w:tc>
          <w:tcPr>
            <w:tcW w:type="dxa" w:w="20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c>
          <w:tcPr>
            <w:tcW w:type="dxa" w:w="20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Version der Vorlage</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Datum</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Protokoll-Nr.</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Protokollführung</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Geprüft (Funktion)</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(oberste Leitung)</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Verteiler</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A. Wozu und wann</w:t>
      </w:r>
    </w:p>
    <w:p>
      <w:pPr>
        <w:spacing w:after="140" w:before="0" w:line="300"/>
        <w:jc w:val="both"/>
      </w:pPr>
      <w:r>
        <w:rPr>
          <w:rFonts w:ascii="Aptos" w:cs="Aptos" w:eastAsia="Aptos" w:hAnsi="Aptos"/>
          <w:color w:val="1A1A1A"/>
          <w:sz w:val="21"/>
          <w:szCs w:val="21"/>
        </w:rPr>
        <w:t xml:space="preserve">Das Protokoll hält fest, was die Leitung auf Grundlage von Daten entschieden hat und wie die Wirkung geprüft wird. Es dient der Managementbewertung, Sitzungen mit der Eigentümerschaft und außerordentlichen Sitzungen nach einem Auslöser.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50"/>
        <w:gridCol w:w="6988"/>
      </w:tblGrid>
      <w:tr>
        <w:trPr>
          <w:tblHeader/>
        </w:trPr>
        <w:tc>
          <w:tcPr>
            <w:tcW w:type="dxa" w:w="26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Normbezug nach Band 2a</w:t>
            </w:r>
          </w:p>
        </w:tc>
        <w:tc>
          <w:tcPr>
            <w:tcW w:type="dxa" w:w="698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Was daraus für das Protokoll folgt</w:t>
            </w:r>
          </w:p>
        </w:tc>
      </w:tr>
      <w:tr>
        <w:trPr>
          <w:cantSplit/>
        </w:trPr>
        <w:tc>
          <w:tcPr>
            <w:tcW w:type="dxa" w:w="26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9.3 Managementbewertung</w:t>
            </w:r>
          </w:p>
        </w:tc>
        <w:tc>
          <w:tcPr>
            <w:tcW w:type="dxa" w:w="6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 geplanten Abständen. Berücksichtigt unter anderem Änderungen, Leistung und Wirksamkeit, Auditresultate, Ressourcen, Risiken und Chancen, Verbesserungsmöglichkeiten. Entscheidungen über Verbesserungen, Änderungen und Ressourcen sind als Ergebnisse festzuhalten.</w:t>
            </w:r>
          </w:p>
        </w:tc>
      </w:tr>
      <w:tr>
        <w:trPr>
          <w:cantSplit/>
        </w:trPr>
        <w:tc>
          <w:tcPr>
            <w:tcW w:type="dxa" w:w="26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9.1 Bewertung</w:t>
            </w:r>
          </w:p>
        </w:tc>
        <w:tc>
          <w:tcPr>
            <w:tcW w:type="dxa" w:w="6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Daten sind zu bewerten, nicht nur zu sammeln (seit 2015).</w:t>
            </w:r>
          </w:p>
        </w:tc>
      </w:tr>
      <w:tr>
        <w:trPr>
          <w:cantSplit/>
        </w:trPr>
        <w:tc>
          <w:tcPr>
            <w:tcW w:type="dxa" w:w="26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6.3 Geplante Änderungen</w:t>
            </w:r>
          </w:p>
        </w:tc>
        <w:tc>
          <w:tcPr>
            <w:tcW w:type="dxa" w:w="6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Zweck, mögliche Folgen, Integrität des QMS, Ressourcen sowie Verantwortlichkeiten und Befugnisse prüfen.</w:t>
            </w:r>
          </w:p>
        </w:tc>
      </w:tr>
      <w:tr>
        <w:trPr>
          <w:cantSplit/>
        </w:trPr>
        <w:tc>
          <w:tcPr>
            <w:tcW w:type="dxa" w:w="26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10.2 Korrekturmaßnahmen</w:t>
            </w:r>
          </w:p>
        </w:tc>
        <w:tc>
          <w:tcPr>
            <w:tcW w:type="dxa" w:w="6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Den Auswirkungen angemessen und auf Wirksamkeit geprüft (seit 2015).</w:t>
            </w:r>
          </w:p>
        </w:tc>
      </w:tr>
      <w:tr>
        <w:trPr>
          <w:cantSplit/>
        </w:trPr>
        <w:tc>
          <w:tcPr>
            <w:tcW w:type="dxa" w:w="26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Verantwortung</w:t>
            </w:r>
          </w:p>
        </w:tc>
        <w:tc>
          <w:tcPr>
            <w:tcW w:type="dxa" w:w="6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Aufgaben sind delegierbar. Die Verantwortung für die Wirksamkeit des QMS bleibt bei der obersten Leitung.</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Zur Vollständigkeit. </w:t>
            </w:r>
            <w:r>
              <w:rPr>
                <w:rFonts w:ascii="Aptos" w:cs="Aptos" w:eastAsia="Aptos" w:hAnsi="Aptos"/>
                <w:color w:val="1A1A1A"/>
                <w:sz w:val="21"/>
                <w:szCs w:val="21"/>
              </w:rPr>
              <w:t xml:space="preserve">Die Liste der Eingaben in Teil C folgt Band 2a und ist eine Auswahl. Die vollständigen Eingaben und Ergebnisse der Managementbewertung prüfen Sie am geltenden Normtext. Ein bestimmtes Protokollformat schreibt die Norm nicht vor.</w:t>
            </w:r>
          </w:p>
        </w:tc>
      </w:tr>
    </w:tbl>
    <w:p>
      <w:pPr>
        <w:spacing w:after="120"/>
      </w:pPr>
    </w:p>
    <w:p>
      <w:pPr>
        <w:keepNext/>
        <w:spacing w:after="120" w:before="280"/>
      </w:pPr>
      <w:r>
        <w:rPr>
          <w:rFonts w:ascii="Aptos" w:cs="Aptos" w:eastAsia="Aptos" w:hAnsi="Aptos"/>
          <w:b/>
          <w:bCs/>
          <w:color w:val="8C5A2B"/>
          <w:sz w:val="26"/>
          <w:szCs w:val="26"/>
        </w:rPr>
        <w:t xml:space="preserve">B. Sitzungskopf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421"/>
        <w:gridCol w:w="4217"/>
      </w:tblGrid>
      <w:tr>
        <w:trPr>
          <w:tblHeader/>
        </w:trPr>
        <w:tc>
          <w:tcPr>
            <w:tcW w:type="dxa" w:w="54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4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Art: Managementbewertung / Sitzung mit Eigentümerschaft / Direktionssitzung / außerordentlich nach Auslöser (Typ A oder B)</w:t>
            </w:r>
          </w:p>
        </w:tc>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Datum, Ort, Dauer</w:t>
            </w:r>
          </w:p>
        </w:tc>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Vorsitz (oberste Leitung)</w:t>
            </w:r>
          </w:p>
        </w:tc>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Teilnehmende</w:t>
            </w:r>
          </w:p>
        </w:tc>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Bewerteter Zeitraum</w:t>
            </w:r>
          </w:p>
        </w:tc>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Unterlagen verteilt am (mindestens einige Tage vorher)</w:t>
            </w:r>
          </w:p>
        </w:tc>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Offene Entscheidungen und Prüfungen aus der letzten Sitzung</w:t>
            </w:r>
          </w:p>
        </w:tc>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Eingaben</w:t>
      </w:r>
    </w:p>
    <w:p>
      <w:pPr>
        <w:spacing w:after="140" w:before="0" w:line="300"/>
        <w:jc w:val="both"/>
      </w:pPr>
      <w:r>
        <w:rPr>
          <w:rFonts w:ascii="Aptos" w:cs="Aptos" w:eastAsia="Aptos" w:hAnsi="Aptos"/>
          <w:color w:val="1A1A1A"/>
          <w:sz w:val="21"/>
          <w:szCs w:val="21"/>
        </w:rPr>
        <w:t xml:space="preserve">Zu jeder Eingabe gehört eine Kernaussage und die Frage, ob sie eine Entscheidung verlangt. Eine «zu beobachtende Tendenz» erhält eine Entscheidung oder einen Termin zur Wiedervorlage.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38"/>
        <w:gridCol w:w="1217"/>
        <w:gridCol w:w="1725"/>
        <w:gridCol w:w="812"/>
        <w:gridCol w:w="2232"/>
        <w:gridCol w:w="1014"/>
      </w:tblGrid>
      <w:tr>
        <w:trPr>
          <w:tblHeader/>
        </w:trPr>
        <w:tc>
          <w:tcPr>
            <w:tcW w:type="dxa" w:w="2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Eingabe</w:t>
            </w:r>
          </w:p>
        </w:tc>
        <w:tc>
          <w:tcPr>
            <w:tcW w:type="dxa" w:w="1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Grundlage</w:t>
            </w:r>
          </w:p>
        </w:tc>
        <w:tc>
          <w:tcPr>
            <w:tcW w:type="dxa" w:w="172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 im Haus</w:t>
            </w:r>
          </w:p>
        </w:tc>
        <w:tc>
          <w:tcPr>
            <w:tcW w:type="dxa" w:w="8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Liegt vor?</w:t>
            </w:r>
          </w:p>
        </w:tc>
        <w:tc>
          <w:tcPr>
            <w:tcW w:type="dxa" w:w="223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Kernaussage / Signal</w:t>
            </w:r>
          </w:p>
        </w:tc>
        <w:tc>
          <w:tcPr>
            <w:tcW w:type="dxa" w:w="10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 nötig?</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Stand der Maßnahmen aus früheren Sitzungen</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Band 2a, 2.11</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Entscheidungsregister (Teil E)</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Änderungen externer und interner Themen</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9.3</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Kontext-Logbuch, Auslöser</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Interessierte Parteien: veränderte Erwartungen</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4.2 / 9.3</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Register der Parteien</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Kundenzufriedenheit über alle Kanäle</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9.1.2 / 9.1.3</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Bewertungen, Beschwerden</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Erreichung der Qualitätsziele; Umsetzung der Planung</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9.1.3</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Zielplan</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Konformität der Dienstleistungen; Abweichungen, Korrekturmaßnahmen</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9.1.3 / 10.2</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Abweichungsregister</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Ergebnisse interner Audits</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9.3</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Auditberichte</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Leistung externer Anbieter</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9.1.3</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Lieferantenbewertung</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Wirksamkeit der Maßnahmen zu Risiken; Chancen getrennt verfolgt</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9.1.3 / 6.1</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Risikoregister</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Angemessenheit der Ressourcen</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9.3</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Personal, Technik, Budget</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Verbesserungsmöglichkeiten</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9.3 / 10</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Lektionen, Vorschläge</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Qualitätskultur und ethisches Verhalten (fester Punkt)</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Empfehlung Band 2a</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Kulturindikatoren</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Kohärenz von Politik und Entscheidungen</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Empfehlung Band 2a</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Vorlage Qualitätspolitik, F.1</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Entscheidungsblatt</w:t>
      </w:r>
    </w:p>
    <w:p>
      <w:pPr>
        <w:spacing w:after="140" w:before="0" w:line="300"/>
        <w:jc w:val="both"/>
      </w:pPr>
      <w:r>
        <w:rPr>
          <w:rFonts w:ascii="Aptos" w:cs="Aptos" w:eastAsia="Aptos" w:hAnsi="Aptos"/>
          <w:color w:val="1A1A1A"/>
          <w:sz w:val="21"/>
          <w:szCs w:val="21"/>
        </w:rPr>
        <w:t xml:space="preserve">Ein Blatt je bedeutsamer Entscheidung. Kleine Entscheidungen genügen als Zeile in Teil E.</w:t>
      </w:r>
    </w:p>
    <w:p>
      <w:pPr>
        <w:keepNext/>
        <w:spacing w:after="90" w:before="160"/>
      </w:pPr>
      <w:r>
        <w:rPr>
          <w:rFonts w:ascii="Aptos" w:cs="Aptos" w:eastAsia="Aptos" w:hAnsi="Aptos"/>
          <w:b/>
          <w:bCs/>
          <w:color w:val="5A5A5A"/>
          <w:sz w:val="18"/>
          <w:szCs w:val="18"/>
        </w:rPr>
        <w:t xml:space="preserve">D.1 Anlass und Eingaben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37"/>
        <w:gridCol w:w="5301"/>
      </w:tblGrid>
      <w:tr>
        <w:trPr>
          <w:tblHeader/>
        </w:trPr>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Entscheidungs-Nr.</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Anlass (Eingabe aus Teil C, Logbuch-Nr., Auditbefund, Kennzahl, geplante Änderung)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Datenbasis: Kennzahl, Quelle, Stand</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Berührte Prozesse, Ziele, Risiken oder Chancen (Reg.-Nr.)</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Berührter Grundsatz der Qualitätspolitik</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D.2 Optionen (mindestens zwei, darunter «nichts ändern»)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67"/>
        <w:gridCol w:w="2409"/>
        <w:gridCol w:w="2081"/>
        <w:gridCol w:w="1533"/>
        <w:gridCol w:w="1971"/>
        <w:gridCol w:w="877"/>
      </w:tblGrid>
      <w:tr>
        <w:trPr>
          <w:tblHeader/>
        </w:trPr>
        <w:tc>
          <w:tcPr>
            <w:tcW w:type="dxa" w:w="7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Option</w:t>
            </w:r>
          </w:p>
        </w:tc>
        <w:tc>
          <w:tcPr>
            <w:tcW w:type="dxa" w:w="24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Beschreibung</w:t>
            </w:r>
          </w:p>
        </w:tc>
        <w:tc>
          <w:tcPr>
            <w:tcW w:type="dxa" w:w="20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Erwartete Wirkung auf die Qualität</w:t>
            </w:r>
          </w:p>
        </w:tc>
        <w:tc>
          <w:tcPr>
            <w:tcW w:type="dxa" w:w="15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Ressourcenbedarf</w:t>
            </w:r>
          </w:p>
        </w:tc>
        <w:tc>
          <w:tcPr>
            <w:tcW w:type="dxa" w:w="19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Risiken, Nebenwirkungen</w:t>
            </w:r>
          </w:p>
        </w:tc>
        <w:tc>
          <w:tcPr>
            <w:tcW w:type="dxa" w:w="8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Gewählt</w:t>
            </w:r>
          </w:p>
        </w:tc>
      </w:tr>
      <w:tr>
        <w:trPr>
          <w:cantSplit/>
        </w:trPr>
        <w:tc>
          <w:tcPr>
            <w:tcW w:type="dxa" w:w="7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Nichts ändern, weiter beobachten</w:t>
            </w:r>
          </w:p>
        </w:tc>
        <w:tc>
          <w:tcPr>
            <w:tcW w:type="dxa" w:w="20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7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7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C</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7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7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7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160"/>
      </w:pPr>
      <w:r>
        <w:rPr>
          <w:rFonts w:ascii="Aptos" w:cs="Aptos" w:eastAsia="Aptos" w:hAnsi="Aptos"/>
          <w:b/>
          <w:bCs/>
          <w:color w:val="5A5A5A"/>
          <w:sz w:val="18"/>
          <w:szCs w:val="18"/>
        </w:rPr>
        <w:t xml:space="preserve">D.3 Entscheidung und Umsetzung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37"/>
        <w:gridCol w:w="5301"/>
      </w:tblGrid>
      <w:tr>
        <w:trPr>
          <w:tblHeader/>
        </w:trPr>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Entscheidung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Begründung, auch warum andere Optionen verworfen wurden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Nur bei geplanter Änderung (6.3): Zweck; mögliche Folgen; Integrität des QMS; Ressourcen; Verantwortlichkeiten und Befugnisse</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Ressourcen (Personal, Zeit, Budget, Technik), freigegeben durch</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Verantwortlich (Funktion) und erteilte Befugnis</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Frist und Etappen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Erwartetes Ergebnis, möglichst messbar</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Wer wird informiert, bis wann? (bei Vorschlägen: Rückmeldung an die einreichende Person)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E. Entscheidungsregister</w:t>
      </w:r>
    </w:p>
    <w:p>
      <w:pPr>
        <w:spacing w:after="140" w:before="0" w:line="300"/>
        <w:jc w:val="both"/>
      </w:pPr>
      <w:r>
        <w:rPr>
          <w:rFonts w:ascii="Aptos" w:cs="Aptos" w:eastAsia="Aptos" w:hAnsi="Aptos"/>
          <w:color w:val="1A1A1A"/>
          <w:sz w:val="21"/>
          <w:szCs w:val="21"/>
        </w:rPr>
        <w:t xml:space="preserve">Das Register verbindet die Sitzungen. Offene Einträge kommen in die nächste Sitzung als Eingabe.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97"/>
        <w:gridCol w:w="1391"/>
        <w:gridCol w:w="2782"/>
        <w:gridCol w:w="1292"/>
        <w:gridCol w:w="1093"/>
        <w:gridCol w:w="795"/>
        <w:gridCol w:w="894"/>
        <w:gridCol w:w="894"/>
      </w:tblGrid>
      <w:tr>
        <w:trPr>
          <w:tblHeader/>
        </w:trPr>
        <w:tc>
          <w:tcPr>
            <w:tcW w:type="dxa" w:w="49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3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Sitzung / Datum</w:t>
            </w:r>
          </w:p>
        </w:tc>
        <w:tc>
          <w:tcPr>
            <w:tcW w:type="dxa" w:w="27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 (kurz)</w:t>
            </w:r>
          </w:p>
        </w:tc>
        <w:tc>
          <w:tcPr>
            <w:tcW w:type="dxa" w:w="129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Art: Verbes­serung, Änderung, Ressource</w:t>
            </w:r>
          </w:p>
        </w:tc>
        <w:tc>
          <w:tcPr>
            <w:tcW w:type="dxa" w:w="109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79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Frist</w:t>
            </w:r>
          </w:p>
        </w:tc>
        <w:tc>
          <w:tcPr>
            <w:tcW w:type="dxa" w:w="89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Prüfung am</w:t>
            </w:r>
          </w:p>
        </w:tc>
        <w:tc>
          <w:tcPr>
            <w:tcW w:type="dxa" w:w="89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Status</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Beispiel (Kompositfall, anzupassen)</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Restaurantnote an Kongresstagen gefallen; Schichtumstellung mit garantierter Mindestabdeckung im Mittagsservice</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Verbes­serung</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F&amp;B-Leitung</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7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F. Wirksamkeitskontrolle</w:t>
      </w:r>
    </w:p>
    <w:p>
      <w:pPr>
        <w:spacing w:after="140" w:before="0" w:line="300"/>
        <w:jc w:val="both"/>
      </w:pPr>
      <w:r>
        <w:rPr>
          <w:rFonts w:ascii="Aptos" w:cs="Aptos" w:eastAsia="Aptos" w:hAnsi="Aptos"/>
          <w:color w:val="1A1A1A"/>
          <w:sz w:val="21"/>
          <w:szCs w:val="21"/>
        </w:rPr>
        <w:t xml:space="preserve">Für bedeutsame Maßnahmen schlägt der Band drei Prüfmomente vor: nach 30, 90 und 180 Tagen. Wirkt eine Maßnahme nicht, wird die Ursache neu analysiert, statt die Maßnahme als erledigt zu führen.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3"/>
        <w:gridCol w:w="1059"/>
        <w:gridCol w:w="2118"/>
        <w:gridCol w:w="1906"/>
        <w:gridCol w:w="1483"/>
        <w:gridCol w:w="2119"/>
      </w:tblGrid>
      <w:tr>
        <w:trPr>
          <w:tblHeader/>
        </w:trPr>
        <w:tc>
          <w:tcPr>
            <w:tcW w:type="dxa" w:w="9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Entsch.-Nr.</w:t>
            </w:r>
          </w:p>
        </w:tc>
        <w:tc>
          <w:tcPr>
            <w:tcW w:type="dxa" w:w="105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Prüfmoment</w:t>
            </w:r>
          </w:p>
        </w:tc>
        <w:tc>
          <w:tcPr>
            <w:tcW w:type="dxa" w:w="21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Prüffrage</w:t>
            </w:r>
          </w:p>
        </w:tc>
        <w:tc>
          <w:tcPr>
            <w:tcW w:type="dxa" w:w="19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Evidenz</w:t>
            </w:r>
          </w:p>
        </w:tc>
        <w:tc>
          <w:tcPr>
            <w:tcW w:type="dxa" w:w="14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Ergebnis</w:t>
            </w:r>
          </w:p>
        </w:tc>
        <w:tc>
          <w:tcPr>
            <w:tcW w:type="dxa" w:w="21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Folge: abschließen, anpassen, Ursache neu analysieren</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30 Tage</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Wie geplant umgesetzt?</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90 Tage</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Zeigen sich die erwarteten Signale?</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180 Tage</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Gefestigt, ohne unerwartete Nebenwirkungen?</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9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G. Kennzahlen der Entscheidungsqualität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56"/>
        <w:gridCol w:w="3641"/>
        <w:gridCol w:w="1071"/>
        <w:gridCol w:w="1071"/>
        <w:gridCol w:w="1499"/>
      </w:tblGrid>
      <w:tr>
        <w:trPr>
          <w:tblHeader/>
        </w:trPr>
        <w:tc>
          <w:tcPr>
            <w:tcW w:type="dxa" w:w="235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Kennzahl (Band 2a)</w:t>
            </w:r>
          </w:p>
        </w:tc>
        <w:tc>
          <w:tcPr>
            <w:tcW w:type="dxa" w:w="36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Definition</w:t>
            </w:r>
          </w:p>
        </w:tc>
        <w:tc>
          <w:tcPr>
            <w:tcW w:type="dxa" w:w="10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Diese Sitzung</w:t>
            </w:r>
          </w:p>
        </w:tc>
        <w:tc>
          <w:tcPr>
            <w:tcW w:type="dxa" w:w="10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Vorwert</w:t>
            </w:r>
          </w:p>
        </w:tc>
        <w:tc>
          <w:tcPr>
            <w:tcW w:type="dxa" w:w="14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Bemerkung</w:t>
            </w:r>
          </w:p>
        </w:tc>
      </w:tr>
      <w:tr>
        <w:trPr>
          <w:cantSplit/>
        </w:trPr>
        <w:tc>
          <w:tcPr>
            <w:tcW w:type="dxa" w:w="23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Daten-Entscheidungs-Schließung (2.11)</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Anteil der überwachten Signale mit dokumentierter Entscheidung im Zyklus</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Latenz (2.11)</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Mittlere Zeit vom Erkennen eines Signals bis zur umgesetzten Korrekturmaßnahme</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Geprüfte Wirksamkeit (2.12)</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Anteil der bedeutenden Verbesserungen mit geprüfter Wirksamkeit</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Wiederkehrende Abweichungen (2.12)</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Quote der Abweichungen, die im selben Prozess erneut auftreten</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Kohärenz (2.2)</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Zahl der Entscheidungen im Einklang mit der Politik, von drei geprüften je Quartal</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H. Ergebnisse und Abschluss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24"/>
        <w:gridCol w:w="3614"/>
      </w:tblGrid>
      <w:tr>
        <w:trPr>
          <w:tblHeader/>
        </w:trPr>
        <w:tc>
          <w:tcPr>
            <w:tcW w:type="dxa" w:w="6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Ergebnis der Sitzung</w:t>
            </w:r>
          </w:p>
        </w:tc>
        <w:tc>
          <w:tcPr>
            <w:tcW w:type="dxa" w:w="36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Entscheidungs-Nr.</w:t>
            </w:r>
          </w:p>
        </w:tc>
      </w:tr>
      <w:tr>
        <w:trPr>
          <w:cantSplit/>
        </w:trPr>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Entscheidungen über Verbesserungen</w:t>
            </w:r>
          </w:p>
        </w:tc>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Entscheidungen über Änderungen am QMS</w:t>
            </w:r>
          </w:p>
        </w:tc>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Entscheidungen über Ressourcen</w:t>
            </w:r>
          </w:p>
        </w:tc>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Nächste Managementbewertung geplant am</w:t>
            </w:r>
          </w:p>
        </w:tc>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Unterschrift oberste Leitung, Datum</w:t>
            </w:r>
          </w:p>
        </w:tc>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Hinweis. </w:t>
            </w:r>
            <w:r>
              <w:rPr>
                <w:rFonts w:ascii="Aptos" w:cs="Aptos" w:eastAsia="Aptos" w:hAnsi="Aptos"/>
                <w:color w:val="1A1A1A"/>
                <w:sz w:val="21"/>
                <w:szCs w:val="21"/>
              </w:rPr>
              <w:t xml:space="preserve">Ein Protokoll, das niemand mit einer Entscheidung verbindet, wird archiviert und vergessen. Prüfen Sie deshalb zu Beginn jeder Sitzung zuerst die offenen Einträge aus Teil E.</w:t>
            </w:r>
          </w:p>
        </w:tc>
      </w:tr>
    </w:tbl>
    <w:p>
      <w:pPr>
        <w:spacing w:after="12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 Vorlage ersetzt nicht den Normtext der ISO 9001:2026 und keine Abstimmung mit der Zertifizierungsstelle. Sie ist keine Rechts- oder Zertifizierungsberatung. Sie ist an Größe und Sitzungsstruktur des eigenen Hauses anzupassen; die Entscheidungen und ihre Verantwortung bleiben bei dessen Leitung. Stand: 13. Oktober 2026.</w:t>
      </w:r>
    </w:p>
    <w:p>
      <w:pPr>
        <w:spacing w:after="140" w:before="0" w:line="300"/>
        <w:jc w:val="both"/>
      </w:pPr>
      <w:r>
        <w:rPr>
          <w:rFonts w:ascii="Aptos" w:cs="Aptos" w:eastAsia="Aptos" w:hAnsi="Aptos"/>
          <w:i/>
          <w:iCs/>
          <w:color w:val="5A5A5A"/>
          <w:sz w:val="21"/>
          <w:szCs w:val="21"/>
        </w:rPr>
        <w:t xml:space="preserve">Bezug im Buch: Band 2a, Abschnitte 2.11, 2.12 und 1.12; ergänzend 1.4, 2.2, 2.4 (geplante Änderungen) und Anhang 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2026-10-13T00:12:43.255Z</dcterms:created>
  <dcterms:modified xsi:type="dcterms:W3CDTF">2026-10-13T00:12:43.256Z</dcterms:modified>
</cp:coreProperties>
</file>

<file path=docProps/custom.xml><?xml version="1.0" encoding="utf-8"?>
<Properties xmlns="http://schemas.openxmlformats.org/officeDocument/2006/custom-properties" xmlns:vt="http://schemas.openxmlformats.org/officeDocument/2006/docPropsVTypes"/>
</file>