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ptos" w:cs="Aptos" w:eastAsia="Aptos" w:hAnsi="Aptos"/>
          <w:color w:val="5A5A5A"/>
          <w:sz w:val="18"/>
          <w:szCs w:val="18"/>
        </w:rPr>
        <w:t xml:space="preserve">Das Steuer und die Lupe · Band 2a · ISO 9001:2026</w:t>
      </w:r>
    </w:p>
    <w:p>
      <w:pPr>
        <w:spacing w:after="200"/>
      </w:pPr>
      <w:r>
        <w:rPr>
          <w:rFonts w:ascii="Aptos" w:cs="Aptos" w:eastAsia="Aptos" w:hAnsi="Aptos"/>
          <w:b/>
          <w:bCs/>
          <w:color w:val="8C5A2B"/>
          <w:sz w:val="18"/>
          <w:szCs w:val="18"/>
        </w:rPr>
        <w:t xml:space="preserve">VORLAGE ZU DEN ABSCHNITTEN 1.1, 1.6 UND 2.1</w:t>
      </w:r>
    </w:p>
    <w:p>
      <w:pPr>
        <w:pStyle w:val="Heading1"/>
        <w:spacing w:after="120" w:line="360"/>
      </w:pPr>
      <w:r>
        <w:rPr>
          <w:rFonts w:ascii="Aptos" w:cs="Aptos" w:eastAsia="Aptos" w:hAnsi="Aptos"/>
          <w:b/>
          <w:bCs/>
          <w:color w:val="002060"/>
          <w:sz w:val="36"/>
          <w:szCs w:val="36"/>
        </w:rPr>
        <w:t xml:space="preserve">Kontextanalyse und Kontext-Logbuch</w:t>
      </w:r>
    </w:p>
    <w:p>
      <w:pPr>
        <w:spacing w:after="200"/>
      </w:pPr>
      <w:r>
        <w:rPr>
          <w:rFonts w:ascii="Aptos" w:cs="Aptos" w:eastAsia="Aptos" w:hAnsi="Aptos"/>
          <w:i/>
          <w:iCs/>
          <w:color w:val="5A5A5A"/>
          <w:sz w:val="22"/>
          <w:szCs w:val="22"/>
        </w:rPr>
        <w:t xml:space="preserve">Kontextkarte mit Überwachungsindikatoren, Aktualisierungsauslöser, Klimabestimmung und Logbuch für Veränderungssignale</w:t>
      </w:r>
    </w:p>
    <w:p>
      <w:pPr>
        <w:pBdr>
          <w:bottom w:val="single" w:color="C9BBA6" w:sz="6" w:space="4"/>
        </w:pBdr>
        <w:spacing w:after="240"/>
      </w:pPr>
      <w:r>
        <w:rPr>
          <w:rFonts w:ascii="Aptos" w:cs="Aptos" w:eastAsia="Aptos" w:hAnsi="Aptos"/>
          <w:color w:val="5A5A5A"/>
          <w:sz w:val="17"/>
          <w:szCs w:val="17"/>
        </w:rPr>
        <w:t xml:space="preserve">Stand: 13. Oktober 2026 · buecher.effedore.com</w:t>
      </w: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Dokumentkopf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39"/>
        <w:gridCol w:w="2780"/>
        <w:gridCol w:w="2039"/>
        <w:gridCol w:w="2780"/>
      </w:tblGrid>
      <w:tr>
        <w:trPr>
          <w:tblHeader/>
        </w:trPr>
        <w:tc>
          <w:tcPr>
            <w:tcW w:type="dxa" w:w="20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Feld</w:t>
            </w:r>
          </w:p>
        </w:tc>
        <w:tc>
          <w:tcPr>
            <w:tcW w:type="dxa" w:w="278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Eintrag</w:t>
            </w:r>
          </w:p>
        </w:tc>
        <w:tc>
          <w:tcPr>
            <w:tcW w:type="dxa" w:w="20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Feld</w:t>
            </w:r>
          </w:p>
        </w:tc>
        <w:tc>
          <w:tcPr>
            <w:tcW w:type="dxa" w:w="278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Eintrag</w:t>
            </w:r>
          </w:p>
        </w:tc>
      </w:tr>
      <w:tr>
        <w:trPr>
          <w:cantSplit/>
        </w:trPr>
        <w:tc>
          <w:tcPr>
            <w:tcW w:type="dxa" w:w="20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Haus</w:t>
            </w:r>
          </w:p>
        </w:tc>
        <w:tc>
          <w:tcPr>
            <w:tcW w:type="dxa" w:w="278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0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Version</w:t>
            </w:r>
          </w:p>
        </w:tc>
        <w:tc>
          <w:tcPr>
            <w:tcW w:type="dxa" w:w="278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0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Datum</w:t>
            </w:r>
          </w:p>
        </w:tc>
        <w:tc>
          <w:tcPr>
            <w:tcW w:type="dxa" w:w="278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0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Gültig ab</w:t>
            </w:r>
          </w:p>
        </w:tc>
        <w:tc>
          <w:tcPr>
            <w:tcW w:type="dxa" w:w="278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0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Erstellt (Funktion)</w:t>
            </w:r>
          </w:p>
        </w:tc>
        <w:tc>
          <w:tcPr>
            <w:tcW w:type="dxa" w:w="278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0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Geprüft (Funktion)</w:t>
            </w:r>
          </w:p>
        </w:tc>
        <w:tc>
          <w:tcPr>
            <w:tcW w:type="dxa" w:w="278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0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Freigegeben (oberste Leitung)</w:t>
            </w:r>
          </w:p>
        </w:tc>
        <w:tc>
          <w:tcPr>
            <w:tcW w:type="dxa" w:w="278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0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Nächste planmäßige Überprüfung</w:t>
            </w:r>
          </w:p>
        </w:tc>
        <w:tc>
          <w:tcPr>
            <w:tcW w:type="dxa" w:w="278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8C5A2B" w:sz="24"/>
              <w:bottom w:val="none" w:color="FFFFFF" w:sz="0"/>
              <w:right w:val="none" w:color="FFFFFF" w:sz="0"/>
            </w:tcBorders>
            <w:shd w:fill="EFE7DC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80" w:line="300"/>
            </w:pPr>
            <w:r>
              <w:rPr>
                <w:rFonts w:ascii="Aptos" w:cs="Aptos" w:eastAsia="Aptos" w:hAnsi="Aptos"/>
                <w:b/>
                <w:bCs/>
                <w:color w:val="8C5A2B"/>
                <w:sz w:val="18"/>
                <w:szCs w:val="18"/>
              </w:rPr>
              <w:t xml:space="preserve">So wird die Vorlage genutzt. </w:t>
            </w:r>
            <w:r>
              <w:rPr>
                <w:rFonts w:ascii="Aptos" w:cs="Aptos" w:eastAsia="Aptos" w:hAnsi="Aptos"/>
                <w:color w:val="1A1A1A"/>
                <w:sz w:val="21"/>
                <w:szCs w:val="21"/>
              </w:rPr>
              <w:t xml:space="preserve">Teil A klärt, was Pflicht und was Praxis ist. Teil B prüft die bestehende Kontextanalyse. Die Teile C bis F bauen Kontextkarte, Klimabestimmung und Auslöser auf. Teil G ist das laufende Logbuch.</w:t>
            </w:r>
          </w:p>
          <w:p>
            <w:pPr>
              <w:spacing w:after="0" w:line="300"/>
            </w:pPr>
            <w:r>
              <w:rPr>
                <w:rFonts w:ascii="Aptos" w:cs="Aptos" w:eastAsia="Aptos" w:hAnsi="Aptos"/>
                <w:color w:val="1A1A1A"/>
                <w:sz w:val="21"/>
                <w:szCs w:val="21"/>
              </w:rPr>
              <w:t xml:space="preserve">Die Kontextanalyse gehört der Leitung und den operativen Verantwortlichen gemeinsam. Die Qualitätsbeauftragte führt die Methode, die Abteilungsleiter liefern die Signale.</w:t>
            </w:r>
          </w:p>
        </w:tc>
      </w:tr>
    </w:tbl>
    <w:p>
      <w:pPr>
        <w:spacing w:after="12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A. Pflicht, Praxis und Abgrenzung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Die Tabelle trennt, was der Band als Normanforderung nennt, von den Werkzeugen dieser Vorlage. Den vollständigen Wortlaut prüfen Sie am veröffentlichten Normtext.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14"/>
        <w:gridCol w:w="6024"/>
      </w:tblGrid>
      <w:tr>
        <w:trPr>
          <w:tblHeader/>
        </w:trPr>
        <w:tc>
          <w:tcPr>
            <w:tcW w:type="dxa" w:w="361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Gegenstand</w:t>
            </w:r>
          </w:p>
        </w:tc>
        <w:tc>
          <w:tcPr>
            <w:tcW w:type="dxa" w:w="602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Einordnung nach Band 2a</w:t>
            </w:r>
          </w:p>
        </w:tc>
      </w:tr>
      <w:tr>
        <w:trPr>
          <w:cantSplit/>
        </w:trPr>
        <w:tc>
          <w:tcPr>
            <w:tcW w:type="dxa" w:w="361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Externe und interne Themen bestimmen (4.1)</w:t>
            </w:r>
          </w:p>
        </w:tc>
        <w:tc>
          <w:tcPr>
            <w:tcW w:type="dxa" w:w="602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Pflicht. Informationen über diese Themen sind zu überwachen und zu überprüfen.</w:t>
            </w:r>
          </w:p>
        </w:tc>
      </w:tr>
      <w:tr>
        <w:trPr>
          <w:cantSplit/>
        </w:trPr>
        <w:tc>
          <w:tcPr>
            <w:tcW w:type="dxa" w:w="361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Klimawandel (4.1)</w:t>
            </w:r>
          </w:p>
        </w:tc>
        <w:tc>
          <w:tcPr>
            <w:tcW w:type="dxa" w:w="602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Pflicht seit Amd 1:2024, 2026 übernommen: bestimmen, ob der Klimawandel ein relevantes Thema für das QMS ist. Geprüft wird die Bestimmung, nicht ihr Ergebnis.</w:t>
            </w:r>
          </w:p>
        </w:tc>
      </w:tr>
      <w:tr>
        <w:trPr>
          <w:cantSplit/>
        </w:trPr>
        <w:tc>
          <w:tcPr>
            <w:tcW w:type="dxa" w:w="361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Klimabezogene Anforderungen interessierter Parteien (Anmerkung zu 4.2)</w:t>
            </w:r>
          </w:p>
        </w:tc>
        <w:tc>
          <w:tcPr>
            <w:tcW w:type="dxa" w:w="602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Hinweis: relevante interessierte Parteien können solche Anforderungen haben. Siehe Register der interessierten Parteien.</w:t>
            </w:r>
          </w:p>
        </w:tc>
      </w:tr>
      <w:tr>
        <w:trPr>
          <w:cantSplit/>
        </w:trPr>
        <w:tc>
          <w:tcPr>
            <w:tcW w:type="dxa" w:w="361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Kontext als laufender Prozess, Logbuch, Auslöser, Rhythmus</w:t>
            </w:r>
          </w:p>
        </w:tc>
        <w:tc>
          <w:tcPr>
            <w:tcW w:type="dxa" w:w="602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Gute Praxis dieses Bandes. Die Norm schreibt weder ein Logbuch noch eine bestimmte Aktualisierungsfrequenz vor.</w:t>
            </w:r>
          </w:p>
        </w:tc>
      </w:tr>
      <w:tr>
        <w:trPr>
          <w:cantSplit/>
        </w:trPr>
        <w:tc>
          <w:tcPr>
            <w:tcW w:type="dxa" w:w="361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Treibhausgasbilanz, Emissionsziele, ESG-Strategie</w:t>
            </w:r>
          </w:p>
        </w:tc>
        <w:tc>
          <w:tcPr>
            <w:tcW w:type="dxa" w:w="602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Nicht aus den Klimaergänzungen der ISO 9001 abzuleiten. Umweltmanagement und Emissionsquantifizierung sind getrennt zu prüfen.</w:t>
            </w:r>
          </w:p>
        </w:tc>
      </w:tr>
      <w:tr>
        <w:trPr>
          <w:cantSplit/>
        </w:trPr>
        <w:tc>
          <w:tcPr>
            <w:tcW w:type="dxa" w:w="361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KI, ESG-Berichtspflicht, Lieferkettenresilienz als eigene 4.1-Pflicht</w:t>
            </w:r>
          </w:p>
        </w:tc>
        <w:tc>
          <w:tcPr>
            <w:tcW w:type="dxa" w:w="602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Nein. Solche Themen gehören in die Kontextkarte nur, wenn sie für Ihr Haus tatsächlich relevant sind.</w:t>
            </w:r>
          </w:p>
        </w:tc>
      </w:tr>
    </w:tbl>
    <w:p>
      <w:pPr>
        <w:spacing w:after="14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B. Aktualitätstest der bestehenden Kontextanalyse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Öffnen Sie das vorhandene Dokument und füllen Sie die Felder aus. Der Test zeigt, wie weit Analyse und Wirklichkeit auseinanderliegen.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Prüfpunkt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Eintrag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Datum der letzten inhaltlichen Fortschreibung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Zahl der erfassten Faktoren / davon heute noch zutreffend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Relevante Faktoren der letzten 18 Monate, die fehlen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Liegt die Bestimmung zum Klimawandel vor? (ja / nein, wo belegt)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Wer hat zuletzt beigetragen? (nur Qualitätsfunktion / auch Abteilungsleiter)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Ist die Analyse mit dem Risikoregister verknüpft? (ja / teilweise / nein)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B.1 Die drei (oder mehr) Faktoren, die zuletzt am meisten gekostet haben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2891"/>
        <w:gridCol w:w="1928"/>
        <w:gridCol w:w="1928"/>
      </w:tblGrid>
      <w:tr>
        <w:trPr>
          <w:tblHeader/>
        </w:trPr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Kontextfaktor mit den größten betrieblichen Schwierigkeiten zuletzt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Was geschah?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Hatte das System ihn erkannt?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Im Risikoregister geführt? (Nr.)</w:t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C. Karte des externen Kontexts mit Überwachungsindikatoren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Nehmen Sie nur Faktoren auf, die Ihre Fähigkeit zur Qualitätsleistung tatsächlich beeinflussen. Jeder Faktor erhält einen Indikator, eine Quelle, eine verantwortliche Person und einen Auslösertyp aus Teil F.</w:t>
      </w: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C.1 Externe Faktoren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1285"/>
        <w:gridCol w:w="2088"/>
        <w:gridCol w:w="1767"/>
        <w:gridCol w:w="1205"/>
        <w:gridCol w:w="562"/>
        <w:gridCol w:w="803"/>
      </w:tblGrid>
      <w:tr>
        <w:trPr>
          <w:tblHeader/>
        </w:trPr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Externer Faktor</w:t>
            </w:r>
          </w:p>
        </w:tc>
        <w:tc>
          <w:tcPr>
            <w:tcW w:type="dxa" w:w="128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Berührter Prozess</w:t>
            </w:r>
          </w:p>
        </w:tc>
        <w:tc>
          <w:tcPr>
            <w:tcW w:type="dxa" w:w="208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Indikator: woran erkennen wir eine bedeutsame Veränderung?</w:t>
            </w:r>
          </w:p>
        </w:tc>
        <w:tc>
          <w:tcPr>
            <w:tcW w:type="dxa" w:w="17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Quelle und Frequenz</w:t>
            </w:r>
          </w:p>
        </w:tc>
        <w:tc>
          <w:tcPr>
            <w:tcW w:type="dxa" w:w="120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Verant­wortlich</w:t>
            </w:r>
          </w:p>
        </w:tc>
        <w:tc>
          <w:tcPr>
            <w:tcW w:type="dxa" w:w="56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Typ</w:t>
            </w:r>
          </w:p>
        </w:tc>
        <w:tc>
          <w:tcPr>
            <w:tcW w:type="dxa" w:w="80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Reg.-Nr.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Beispiel (Kompositfall, anzupassen): Lokale Wettbewerbsdynamik</w:t>
            </w:r>
          </w:p>
        </w:tc>
        <w:tc>
          <w:tcPr>
            <w:tcW w:type="dxa" w:w="128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Firmenkunden, Veranstaltungen</w:t>
            </w:r>
          </w:p>
        </w:tc>
        <w:tc>
          <w:tcPr>
            <w:tcW w:type="dxa" w:w="208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Neueröffnung oder bedeutsame Angebotsänderung im Umkreis von 1 km</w:t>
            </w:r>
          </w:p>
        </w:tc>
        <w:tc>
          <w:tcPr>
            <w:tcW w:type="dxa" w:w="17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Monatliche Beobachtung der Buchungsplattformen; vierteljährliche Begehung</w:t>
            </w:r>
          </w:p>
        </w:tc>
        <w:tc>
          <w:tcPr>
            <w:tcW w:type="dxa" w:w="120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Vertriebsleitung</w:t>
            </w:r>
          </w:p>
        </w:tc>
        <w:tc>
          <w:tcPr>
            <w:tcW w:type="dxa" w:w="56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A</w:t>
            </w:r>
          </w:p>
        </w:tc>
        <w:tc>
          <w:tcPr>
            <w:tcW w:type="dxa" w:w="80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8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08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0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56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0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8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08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0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56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0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8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08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0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56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0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8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08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0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56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0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8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08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0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56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0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8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08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0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56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0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40"/>
      </w:pP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5A5A5A"/>
          <w:sz w:val="19"/>
          <w:szCs w:val="19"/>
        </w:rPr>
        <w:t xml:space="preserve">Denkanstöße aus dem Band: Wettbewerb, anwendbare Vorschriften, Erwartungen wichtiger Geschäftspartner, Buchungsverhalten und Technologie, Lieferbedingungen, Saisonalität, Energiekosten, Klima.</w:t>
      </w: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D. Karte des internen Kontexts mit Warnschwellen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Interne Faktoren sind Ressourcen, Kompetenzen, Technik und Betriebskultur. Für jeden Faktor legen Sie eine Warnschwelle fest und was bei ihrer Überschreitung automatisch geprüft wird.</w:t>
      </w: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D.1 Interne Faktoren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29"/>
        <w:gridCol w:w="2198"/>
        <w:gridCol w:w="1522"/>
        <w:gridCol w:w="1268"/>
        <w:gridCol w:w="2029"/>
        <w:gridCol w:w="592"/>
      </w:tblGrid>
      <w:tr>
        <w:trPr>
          <w:tblHeader/>
        </w:trPr>
        <w:tc>
          <w:tcPr>
            <w:tcW w:type="dxa" w:w="202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Interner Faktor</w:t>
            </w:r>
          </w:p>
        </w:tc>
        <w:tc>
          <w:tcPr>
            <w:tcW w:type="dxa" w:w="219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Warnschwelle</w:t>
            </w:r>
          </w:p>
        </w:tc>
        <w:tc>
          <w:tcPr>
            <w:tcW w:type="dxa" w:w="152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Quelle und Frequenz</w:t>
            </w:r>
          </w:p>
        </w:tc>
        <w:tc>
          <w:tcPr>
            <w:tcW w:type="dxa" w:w="126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Verant­wortlich</w:t>
            </w:r>
          </w:p>
        </w:tc>
        <w:tc>
          <w:tcPr>
            <w:tcW w:type="dxa" w:w="202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Was wird bei Überschreitung angestoßen?</w:t>
            </w:r>
          </w:p>
        </w:tc>
        <w:tc>
          <w:tcPr>
            <w:tcW w:type="dxa" w:w="5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Typ</w:t>
            </w:r>
          </w:p>
        </w:tc>
      </w:tr>
      <w:tr>
        <w:trPr>
          <w:cantSplit/>
        </w:trPr>
        <w:tc>
          <w:tcPr>
            <w:tcW w:type="dxa" w:w="202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Beispiel (Kompositfall, anzupassen): Verfügbarkeit qualifizierten Personals</w:t>
            </w:r>
          </w:p>
        </w:tc>
        <w:tc>
          <w:tcPr>
            <w:tcW w:type="dxa" w:w="219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Besetzungsgrad kritischer Positionen unter 85 % über mehr als 14 aufeinanderfolgende Tage</w:t>
            </w:r>
          </w:p>
        </w:tc>
        <w:tc>
          <w:tcPr>
            <w:tcW w:type="dxa" w:w="152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Wöchentliche Personalkennzahlen</w:t>
            </w:r>
          </w:p>
        </w:tc>
        <w:tc>
          <w:tcPr>
            <w:tcW w:type="dxa" w:w="126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02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Überprüfung von Risikoregister und Einsatzplan</w:t>
            </w:r>
          </w:p>
        </w:tc>
        <w:tc>
          <w:tcPr>
            <w:tcW w:type="dxa" w:w="5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202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9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2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6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02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5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02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9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2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6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02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5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02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9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2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6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02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5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02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9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2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6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02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5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02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9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2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6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02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5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02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9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2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6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02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5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40"/>
      </w:pP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5A5A5A"/>
          <w:sz w:val="19"/>
          <w:szCs w:val="19"/>
        </w:rPr>
        <w:t xml:space="preserve">Denkanstöße aus dem Band: Personalverfügbarkeit und Saisonwechsel, Zustand der technischen Anlagen, Wissen in einzelnen Köpfen, digitale Systeme, Abhängigkeit von wenigen Lieferanten.</w:t>
      </w: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E. Klimawandel als Kontextfaktor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Die Norm verlangt zu bestimmen, ob der Klimawandel für Ihr QMS relevant ist. Ein begründetes «nicht relevant» ist zulässig. Band 2a erwartet, dass die Bestimmung im Audit belegbar ist.</w:t>
      </w: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E.1 Relevanzbestimmung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Feld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Eintrag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Ist der Klimawandel ein relevantes Thema für unser QMS? (ja / nein)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Begründung (Standort, Haustyp, Gästeprofil, Betriebsdaten)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Datenbasis (Zeitraum, Quelle)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Bestimmt von / am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Bestätigt durch die Leitung am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Nächste Überprüfung (Band empfiehlt: spätestens nach zwei Jahren, sofort nach einem Extremereignis mit operativen Folgen)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E.2 Lokale Daten erheben (regionaler Wetterdienst, nicht nationale Durchschnitte)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27"/>
        <w:gridCol w:w="1928"/>
        <w:gridCol w:w="2356"/>
        <w:gridCol w:w="1927"/>
      </w:tblGrid>
      <w:tr>
        <w:trPr>
          <w:tblHeader/>
        </w:trPr>
        <w:tc>
          <w:tcPr>
            <w:tcW w:type="dxa" w:w="34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Klimagröße am eigenen Standort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Vorjahrzehnt (Referenz)</w:t>
            </w:r>
          </w:p>
        </w:tc>
        <w:tc>
          <w:tcPr>
            <w:tcW w:type="dxa" w:w="23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Letzte 15 Jahre bzw. jüngster Zeitraum</w:t>
            </w:r>
          </w:p>
        </w:tc>
        <w:tc>
          <w:tcPr>
            <w:tcW w:type="dxa" w:w="19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Quelle</w:t>
            </w:r>
          </w:p>
        </w:tc>
      </w:tr>
      <w:tr>
        <w:trPr>
          <w:cantSplit/>
        </w:trPr>
        <w:tc>
          <w:tcPr>
            <w:tcW w:type="dxa" w:w="34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Hitzetage (Schwelle selbst festlegen, z. B. ≥ 30 °C)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3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9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Tage über der Belastungsgrenze der eigenen Anlagen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3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9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Niederschlag: Volumen und Intensität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3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9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Trockenperioden, Wasserverfügbarkeit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3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9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Schneetage bzw. Schneesicherheit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3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9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Extremereignisse (Hagel, Sturm, Starkregen, Hochwasser)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3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9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E.3 Vom Trend zum Prozess zum Register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63"/>
        <w:gridCol w:w="1428"/>
        <w:gridCol w:w="803"/>
        <w:gridCol w:w="982"/>
        <w:gridCol w:w="2320"/>
        <w:gridCol w:w="1339"/>
        <w:gridCol w:w="803"/>
      </w:tblGrid>
      <w:tr>
        <w:trPr>
          <w:tblHeader/>
        </w:trPr>
        <w:tc>
          <w:tcPr>
            <w:tcW w:type="dxa" w:w="196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Klimatrend</w:t>
            </w:r>
          </w:p>
        </w:tc>
        <w:tc>
          <w:tcPr>
            <w:tcW w:type="dxa" w:w="14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Berührter Prozess</w:t>
            </w:r>
          </w:p>
        </w:tc>
        <w:tc>
          <w:tcPr>
            <w:tcW w:type="dxa" w:w="80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Dim. (1 bis 5)</w:t>
            </w:r>
          </w:p>
        </w:tc>
        <w:tc>
          <w:tcPr>
            <w:tcW w:type="dxa" w:w="98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Risiko / Chance</w:t>
            </w:r>
          </w:p>
        </w:tc>
        <w:tc>
          <w:tcPr>
            <w:tcW w:type="dxa" w:w="23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Behandlung bzw. Kontingenz</w:t>
            </w:r>
          </w:p>
        </w:tc>
        <w:tc>
          <w:tcPr>
            <w:tcW w:type="dxa" w:w="13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Verant­wortlich</w:t>
            </w:r>
          </w:p>
        </w:tc>
        <w:tc>
          <w:tcPr>
            <w:tcW w:type="dxa" w:w="80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Reg.-Nr.</w:t>
            </w:r>
          </w:p>
        </w:tc>
      </w:tr>
      <w:tr>
        <w:trPr>
          <w:cantSplit/>
        </w:trPr>
        <w:tc>
          <w:tcPr>
            <w:tcW w:type="dxa" w:w="196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Beispiel (Kompositfall, anzupassen): Hitzewelle macht Außenflächen unbenutzbar</w:t>
            </w:r>
          </w:p>
        </w:tc>
        <w:tc>
          <w:tcPr>
            <w:tcW w:type="dxa" w:w="14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Outdoor-Veranstaltungen</w:t>
            </w:r>
          </w:p>
        </w:tc>
        <w:tc>
          <w:tcPr>
            <w:tcW w:type="dxa" w:w="80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4</w:t>
            </w:r>
          </w:p>
        </w:tc>
        <w:tc>
          <w:tcPr>
            <w:tcW w:type="dxa" w:w="98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Risiko</w:t>
            </w:r>
          </w:p>
        </w:tc>
        <w:tc>
          <w:tcPr>
            <w:tcW w:type="dxa" w:w="23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Verfahren mit drei Szenarien; Auslösung nach Wettervorhersage 48 Std. vor dem Event</w:t>
            </w:r>
          </w:p>
        </w:tc>
        <w:tc>
          <w:tcPr>
            <w:tcW w:type="dxa" w:w="13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Veranstaltungsleitung</w:t>
            </w:r>
          </w:p>
        </w:tc>
        <w:tc>
          <w:tcPr>
            <w:tcW w:type="dxa" w:w="80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6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0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8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3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0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6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0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8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3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0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6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0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8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3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0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6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0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8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3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0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6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0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8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3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0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6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0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8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3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0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40"/>
      </w:pP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19"/>
          <w:szCs w:val="19"/>
        </w:rPr>
        <w:t xml:space="preserve">Dimensionen nach Band 2a: (1) Kontinuität der Anlagen, (2) Verfügbarkeit und Kosten der Ressourcen, (3) Sicherheit der Gäste, (4) wahrgenommene Servicequalität, (5) Reputation und Kommunikation. Führen Sie auch Chancen, etwa verschobene Saisons.</w:t>
      </w: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E.4 Anlagen, Lieferkette, Indikator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69"/>
        <w:gridCol w:w="1134"/>
        <w:gridCol w:w="2835"/>
      </w:tblGrid>
      <w:tr>
        <w:trPr>
          <w:tblHeader/>
        </w:trPr>
        <w:tc>
          <w:tcPr>
            <w:tcW w:type="dxa" w:w="566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Prüfpunkt</w:t>
            </w:r>
          </w:p>
        </w:tc>
        <w:tc>
          <w:tcPr>
            <w:tcW w:type="dxa" w:w="113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ja / nein</w:t>
            </w:r>
          </w:p>
        </w:tc>
        <w:tc>
          <w:tcPr>
            <w:tcW w:type="dxa" w:w="28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Bemerkung</w:t>
            </w:r>
          </w:p>
        </w:tc>
      </w:tr>
      <w:tr>
        <w:trPr>
          <w:cantSplit/>
        </w:trPr>
        <w:tc>
          <w:tcPr>
            <w:tcW w:type="dxa" w:w="566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Sind die technischen Anlagen für die heutigen statt die historischen Bedingungen ausgelegt?</w:t>
            </w:r>
          </w:p>
        </w:tc>
        <w:tc>
          <w:tcPr>
            <w:tcW w:type="dxa" w:w="113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8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66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Sind kritische Lieferanten klimaexponiert? Gibt es qualifizierte Alternativen?</w:t>
            </w:r>
          </w:p>
        </w:tc>
        <w:tc>
          <w:tcPr>
            <w:tcW w:type="dxa" w:w="113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8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66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Ist ein hauseigener Klimaindikator im Qualitäts-Cockpit festgelegt?</w:t>
            </w:r>
          </w:p>
        </w:tc>
        <w:tc>
          <w:tcPr>
            <w:tcW w:type="dxa" w:w="113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8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8C5A2B" w:sz="24"/>
              <w:bottom w:val="none" w:color="FFFFFF" w:sz="0"/>
              <w:right w:val="none" w:color="FFFFFF" w:sz="0"/>
            </w:tcBorders>
            <w:shd w:fill="EFE7DC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0" w:line="300"/>
            </w:pPr>
            <w:r>
              <w:rPr>
                <w:rFonts w:ascii="Aptos" w:cs="Aptos" w:eastAsia="Aptos" w:hAnsi="Aptos"/>
                <w:b/>
                <w:bCs/>
                <w:color w:val="8C5A2B"/>
                <w:sz w:val="18"/>
                <w:szCs w:val="18"/>
              </w:rPr>
              <w:t xml:space="preserve">Hinweis. </w:t>
            </w:r>
            <w:r>
              <w:rPr>
                <w:rFonts w:ascii="Aptos" w:cs="Aptos" w:eastAsia="Aptos" w:hAnsi="Aptos"/>
                <w:color w:val="1A1A1A"/>
                <w:sz w:val="21"/>
                <w:szCs w:val="21"/>
              </w:rPr>
              <w:t xml:space="preserve">Kontingenzszenarien schreibt die Norm nicht namentlich vor. Der Band leitet sie als gute Praxis aus der betrieblichen Planung (8.1) ab.</w:t>
            </w:r>
          </w:p>
        </w:tc>
      </w:tr>
    </w:tbl>
    <w:p>
      <w:pPr>
        <w:spacing w:after="12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F. Aktualisierungsauslöser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Auslöser stoßen eine Überprüfung außerhalb des regelmäßigen Rhythmus an. Die Fristen sind Vorschläge des Bandes, keine Normfristen. Passen Sie sie an Ihr Haus an.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3"/>
        <w:gridCol w:w="1928"/>
        <w:gridCol w:w="3855"/>
        <w:gridCol w:w="3212"/>
      </w:tblGrid>
      <w:tr>
        <w:trPr>
          <w:tblHeader/>
        </w:trPr>
        <w:tc>
          <w:tcPr>
            <w:tcW w:type="dxa" w:w="64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Typ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Überprüfung</w:t>
            </w:r>
          </w:p>
        </w:tc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Beispiele aus dem Band</w:t>
            </w:r>
          </w:p>
        </w:tc>
        <w:tc>
          <w:tcPr>
            <w:tcW w:type="dxa" w:w="321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Eigene Beispiele des Hauses</w:t>
            </w:r>
          </w:p>
        </w:tc>
      </w:tr>
      <w:tr>
        <w:trPr>
          <w:cantSplit/>
        </w:trPr>
        <w:tc>
          <w:tcPr>
            <w:tcW w:type="dxa" w:w="64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A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binnen 48 Stunden</w:t>
            </w:r>
          </w:p>
        </w:tc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Eröffnung eines direkten Wettbewerbers; Vorschriftenänderung mit unmittelbarer Wirkung</w:t>
            </w:r>
          </w:p>
        </w:tc>
        <w:tc>
          <w:tcPr>
            <w:tcW w:type="dxa" w:w="321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4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B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binnen 30 Tagen</w:t>
            </w:r>
          </w:p>
        </w:tc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Bedeutsam veränderte Erwartungen eines wichtigen Geschäftspartners; Online-Bewertung fällt unter eine definierte Schwelle</w:t>
            </w:r>
          </w:p>
        </w:tc>
        <w:tc>
          <w:tcPr>
            <w:tcW w:type="dxa" w:w="321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4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C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gebündelt in der vierteljährlichen Überprüfung</w:t>
            </w:r>
          </w:p>
        </w:tc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Allmähliche Tendenzen im Gästefeedback; langsame Veränderungen der Lieferbedingungen</w:t>
            </w:r>
          </w:p>
        </w:tc>
        <w:tc>
          <w:tcPr>
            <w:tcW w:type="dxa" w:w="321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F.1 Rhythmus und Zuständigkeit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24"/>
        <w:gridCol w:w="3614"/>
      </w:tblGrid>
      <w:tr>
        <w:trPr>
          <w:tblHeader/>
        </w:trPr>
        <w:tc>
          <w:tcPr>
            <w:tcW w:type="dxa" w:w="602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Feld</w:t>
            </w:r>
          </w:p>
        </w:tc>
        <w:tc>
          <w:tcPr>
            <w:tcW w:type="dxa" w:w="361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Eintrag</w:t>
            </w:r>
          </w:p>
        </w:tc>
      </w:tr>
      <w:tr>
        <w:trPr>
          <w:cantSplit/>
        </w:trPr>
        <w:tc>
          <w:tcPr>
            <w:tcW w:type="dxa" w:w="602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Regelmäßige Überprüfung der gesamten Analyse (Rhythmus; Band 2a, 1.1: mindestens vierteljährlich)</w:t>
            </w:r>
          </w:p>
        </w:tc>
        <w:tc>
          <w:tcPr>
            <w:tcW w:type="dxa" w:w="361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2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In welcher Sitzung wird das Logbuch gesichtet? (Band 2a, 1.1: monatlich in der Direktionssitzung)</w:t>
            </w:r>
          </w:p>
        </w:tc>
        <w:tc>
          <w:tcPr>
            <w:tcW w:type="dxa" w:w="361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2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Wer darf einen Auslöser vom Typ A ausrufen?</w:t>
            </w:r>
          </w:p>
        </w:tc>
        <w:tc>
          <w:tcPr>
            <w:tcW w:type="dxa" w:w="361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2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Meldeweg für Signale außerhalb der Bürozeiten (Nachtschicht, Wochenende)</w:t>
            </w:r>
          </w:p>
        </w:tc>
        <w:tc>
          <w:tcPr>
            <w:tcW w:type="dxa" w:w="361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G. Kontext-Logbuch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Jede Führungskraft trägt ein wahrgenommenes Veränderungssignal mit drei Angaben ein: was sich verändert hat, welcher Prozess berührt sein könnte, ob eine Entscheidung nötig ist. Die Sichtung führt jeden Eintrag in Risikoregister, Zielplanung oder Beobachtung.</w:t>
      </w: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G.1 Logbuch der Veränderungssignale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19"/>
        <w:gridCol w:w="1119"/>
        <w:gridCol w:w="2237"/>
        <w:gridCol w:w="1291"/>
        <w:gridCol w:w="1033"/>
        <w:gridCol w:w="947"/>
        <w:gridCol w:w="1892"/>
      </w:tblGrid>
      <w:tr>
        <w:trPr>
          <w:tblHeader/>
        </w:trPr>
        <w:tc>
          <w:tcPr>
            <w:tcW w:type="dxa" w:w="11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Nr. / Datum</w:t>
            </w:r>
          </w:p>
        </w:tc>
        <w:tc>
          <w:tcPr>
            <w:tcW w:type="dxa" w:w="11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Gemeldet von</w:t>
            </w:r>
          </w:p>
        </w:tc>
        <w:tc>
          <w:tcPr>
            <w:tcW w:type="dxa" w:w="223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Was hat sich verändert?</w:t>
            </w:r>
          </w:p>
        </w:tc>
        <w:tc>
          <w:tcPr>
            <w:tcW w:type="dxa" w:w="12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Berührter Prozess</w:t>
            </w:r>
          </w:p>
        </w:tc>
        <w:tc>
          <w:tcPr>
            <w:tcW w:type="dxa" w:w="103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Entschei­dung nötig? Typ</w:t>
            </w:r>
          </w:p>
        </w:tc>
        <w:tc>
          <w:tcPr>
            <w:tcW w:type="dxa" w:w="94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Gesichtet am</w:t>
            </w:r>
          </w:p>
        </w:tc>
        <w:tc>
          <w:tcPr>
            <w:tcW w:type="dxa" w:w="18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Ergebnis: Register, Ziel oder Beobachtung (Nr.)</w:t>
            </w:r>
          </w:p>
        </w:tc>
      </w:tr>
      <w:tr>
        <w:trPr>
          <w:cantSplit/>
        </w:trPr>
        <w:tc>
          <w:tcPr>
            <w:tcW w:type="dxa" w:w="11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Beispiel (Kompositfall, anzupassen)</w:t>
            </w:r>
          </w:p>
        </w:tc>
        <w:tc>
          <w:tcPr>
            <w:tcW w:type="dxa" w:w="11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Vertriebsleitung</w:t>
            </w:r>
          </w:p>
        </w:tc>
        <w:tc>
          <w:tcPr>
            <w:tcW w:type="dxa" w:w="223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Wettbewerber senkt Tarife für das MICE-Segment September bis November deutlich</w:t>
            </w:r>
          </w:p>
        </w:tc>
        <w:tc>
          <w:tcPr>
            <w:tcW w:type="dxa" w:w="12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Verkauf Veranstaltungen</w:t>
            </w:r>
          </w:p>
        </w:tc>
        <w:tc>
          <w:tcPr>
            <w:tcW w:type="dxa" w:w="103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ja, B</w:t>
            </w:r>
          </w:p>
        </w:tc>
        <w:tc>
          <w:tcPr>
            <w:tcW w:type="dxa" w:w="94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Wettbewerbsanalyse überprüft; Tarifpolitik Veranstaltungen angepasst</w:t>
            </w:r>
          </w:p>
        </w:tc>
      </w:tr>
      <w:tr>
        <w:trPr>
          <w:cantSplit/>
        </w:trPr>
        <w:tc>
          <w:tcPr>
            <w:tcW w:type="dxa" w:w="11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3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3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4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3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3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4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3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3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4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3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3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4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3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3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4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3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3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4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3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3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4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3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3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4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G.2 Monatliche Sichtung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90"/>
        <w:gridCol w:w="1393"/>
        <w:gridCol w:w="1626"/>
        <w:gridCol w:w="1510"/>
        <w:gridCol w:w="1510"/>
        <w:gridCol w:w="1509"/>
      </w:tblGrid>
      <w:tr>
        <w:trPr>
          <w:tblHeader/>
        </w:trPr>
        <w:tc>
          <w:tcPr>
            <w:tcW w:type="dxa" w:w="20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Sitzung (Datum)</w:t>
            </w:r>
          </w:p>
        </w:tc>
        <w:tc>
          <w:tcPr>
            <w:tcW w:type="dxa" w:w="139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Einträge gesichtet</w:t>
            </w:r>
          </w:p>
        </w:tc>
        <w:tc>
          <w:tcPr>
            <w:tcW w:type="dxa" w:w="162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davon Entscheidung nötig</w:t>
            </w:r>
          </w:p>
        </w:tc>
        <w:tc>
          <w:tcPr>
            <w:tcW w:type="dxa" w:w="15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ins Risikoregister</w:t>
            </w:r>
          </w:p>
        </w:tc>
        <w:tc>
          <w:tcPr>
            <w:tcW w:type="dxa" w:w="15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in die Zielplanung</w:t>
            </w:r>
          </w:p>
        </w:tc>
        <w:tc>
          <w:tcPr>
            <w:tcW w:type="dxa" w:w="150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als Beobachtung</w:t>
            </w:r>
          </w:p>
        </w:tc>
      </w:tr>
      <w:tr>
        <w:trPr>
          <w:cantSplit/>
        </w:trPr>
        <w:tc>
          <w:tcPr>
            <w:tcW w:type="dxa" w:w="20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39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62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0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0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39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62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0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0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39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62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0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0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39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62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0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0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39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62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0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0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39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62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0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G.3 Kennzahlen (Band 2a, 1.1 und 2.1)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75"/>
        <w:gridCol w:w="1881"/>
        <w:gridCol w:w="2116"/>
        <w:gridCol w:w="1646"/>
        <w:gridCol w:w="1528"/>
        <w:gridCol w:w="1292"/>
      </w:tblGrid>
      <w:tr>
        <w:trPr>
          <w:tblHeader/>
        </w:trPr>
        <w:tc>
          <w:tcPr>
            <w:tcW w:type="dxa" w:w="117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Quartal</w:t>
            </w:r>
          </w:p>
        </w:tc>
        <w:tc>
          <w:tcPr>
            <w:tcW w:type="dxa" w:w="188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Registrierte Kontextveränderungen</w:t>
            </w:r>
          </w:p>
        </w:tc>
        <w:tc>
          <w:tcPr>
            <w:tcW w:type="dxa" w:w="211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davon in eine Entscheidung überführt</w:t>
            </w:r>
          </w:p>
        </w:tc>
        <w:tc>
          <w:tcPr>
            <w:tcW w:type="dxa" w:w="16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Betriebliche Krisen gesamt</w:t>
            </w:r>
          </w:p>
        </w:tc>
        <w:tc>
          <w:tcPr>
            <w:tcW w:type="dxa" w:w="15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davon vorab erkannt</w:t>
            </w:r>
          </w:p>
        </w:tc>
        <w:tc>
          <w:tcPr>
            <w:tcW w:type="dxa" w:w="12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Abdeckung (%)</w:t>
            </w:r>
          </w:p>
        </w:tc>
      </w:tr>
      <w:tr>
        <w:trPr>
          <w:cantSplit/>
        </w:trPr>
        <w:tc>
          <w:tcPr>
            <w:tcW w:type="dxa" w:w="117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88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11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6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2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7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88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11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6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2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7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88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11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6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2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7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88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11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6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2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7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88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11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6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2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7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88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11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6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5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29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Was dieses Material nicht ist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Diese Vorlage ersetzt nicht den Normtext der ISO 9001:2026 und keine Abstimmung mit der Zertifizierungsstelle. Sie ist keine Rechts- oder Zertifizierungsberatung. Sie ist an Größe, Lage und Risiken des eigenen Hauses anzupassen; die Verantwortung bleibt bei dessen Leitung. Stand: 13. Oktober 2026.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i/>
          <w:iCs/>
          <w:color w:val="5A5A5A"/>
          <w:sz w:val="21"/>
          <w:szCs w:val="21"/>
        </w:rPr>
        <w:t xml:space="preserve">Bezug im Buch: Band 2a, Abschnitte 1.1, 1.6 und 2.1.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5A5A5A"/>
        <w:sz w:val="16"/>
        <w:szCs w:val="16"/>
      </w:rPr>
      <w:t xml:space="preserve">Francesco Dore · Das Steuer und die Lupe · Band 2a · Seite </w:t>
    </w:r>
    <w:r>
      <w:rPr>
        <w:rFonts w:ascii="Aptos" w:cs="Aptos" w:eastAsia="Aptos" w:hAnsi="Aptos"/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ptos" w:cs="Aptos" w:eastAsia="Aptos" w:hAnsi="Aptos"/>
      <w:b/>
      <w:bCs/>
      <w:color w:val="002060"/>
      <w:sz w:val="36"/>
      <w:szCs w:val="3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Dore</dc:creator>
  <cp:lastModifiedBy>Un-named</cp:lastModifiedBy>
  <cp:revision>1</cp:revision>
  <dcterms:created xsi:type="dcterms:W3CDTF">2026-10-13T00:10:44.659Z</dcterms:created>
  <dcterms:modified xsi:type="dcterms:W3CDTF">2026-10-13T00:10:44.659Z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