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ptos" w:cs="Aptos" w:eastAsia="Aptos" w:hAnsi="Aptos"/>
          <w:color w:val="5A5A5A"/>
          <w:sz w:val="18"/>
          <w:szCs w:val="18"/>
        </w:rPr>
        <w:t xml:space="preserve">Das Steuer und die Lupe · Band 2a · ISO 9001:2026</w:t>
      </w:r>
    </w:p>
    <w:p>
      <w:pPr>
        <w:spacing w:after="200"/>
      </w:pPr>
      <w:r>
        <w:rPr>
          <w:rFonts w:ascii="Aptos" w:cs="Aptos" w:eastAsia="Aptos" w:hAnsi="Aptos"/>
          <w:b/>
          <w:bCs/>
          <w:color w:val="8C5A2B"/>
          <w:sz w:val="18"/>
          <w:szCs w:val="18"/>
        </w:rPr>
        <w:t xml:space="preserve">VORLAGE ZU DEN ABSCHNITTEN 1.9 UND 2.1</w:t>
      </w:r>
    </w:p>
    <w:p>
      <w:pPr>
        <w:pStyle w:val="Heading1"/>
        <w:spacing w:after="120" w:line="360"/>
      </w:pPr>
      <w:r>
        <w:rPr>
          <w:rFonts w:ascii="Aptos" w:cs="Aptos" w:eastAsia="Aptos" w:hAnsi="Aptos"/>
          <w:b/>
          <w:bCs/>
          <w:color w:val="002060"/>
          <w:sz w:val="36"/>
          <w:szCs w:val="36"/>
        </w:rPr>
        <w:t xml:space="preserve">Register der interessierten Parteien</w:t>
      </w:r>
    </w:p>
    <w:p>
      <w:pPr>
        <w:spacing w:after="200"/>
      </w:pPr>
      <w:r>
        <w:rPr>
          <w:rFonts w:ascii="Aptos" w:cs="Aptos" w:eastAsia="Aptos" w:hAnsi="Aptos"/>
          <w:i/>
          <w:iCs/>
          <w:color w:val="5A5A5A"/>
          <w:sz w:val="22"/>
          <w:szCs w:val="22"/>
        </w:rPr>
        <w:t xml:space="preserve">Erweiterter Kreis, Anforderungen und reale Erwartungen, Quellen, Einfluss, Trend, Verknüpfung mit Risiken, Chancen und Zielen</w:t>
      </w:r>
    </w:p>
    <w:p>
      <w:pPr>
        <w:pBdr>
          <w:bottom w:val="single" w:color="C9BBA6" w:sz="6" w:space="4"/>
        </w:pBdr>
        <w:spacing w:after="240"/>
      </w:pPr>
      <w:r>
        <w:rPr>
          <w:rFonts w:ascii="Aptos" w:cs="Aptos" w:eastAsia="Aptos" w:hAnsi="Aptos"/>
          <w:color w:val="5A5A5A"/>
          <w:sz w:val="17"/>
          <w:szCs w:val="17"/>
        </w:rPr>
        <w:t xml:space="preserve">Stand: 13. Oktober 2026 · buecher.effedore.com</w:t>
      </w:r>
    </w:p>
    <w:p>
      <w:pPr>
        <w:keepNext/>
        <w:spacing w:after="90" w:before="160"/>
      </w:pPr>
      <w:r>
        <w:rPr>
          <w:rFonts w:ascii="Aptos" w:cs="Aptos" w:eastAsia="Aptos" w:hAnsi="Aptos"/>
          <w:b/>
          <w:bCs/>
          <w:color w:val="5A5A5A"/>
          <w:sz w:val="18"/>
          <w:szCs w:val="18"/>
        </w:rPr>
        <w:t xml:space="preserve">Dokumentkopf</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39"/>
        <w:gridCol w:w="2780"/>
        <w:gridCol w:w="2039"/>
        <w:gridCol w:w="2780"/>
      </w:tblGrid>
      <w:tr>
        <w:trPr>
          <w:tblHeader/>
        </w:trPr>
        <w:tc>
          <w:tcPr>
            <w:tcW w:type="dxa" w:w="203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Feld</w:t>
            </w:r>
          </w:p>
        </w:tc>
        <w:tc>
          <w:tcPr>
            <w:tcW w:type="dxa" w:w="278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Eintrag</w:t>
            </w:r>
          </w:p>
        </w:tc>
        <w:tc>
          <w:tcPr>
            <w:tcW w:type="dxa" w:w="203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Feld</w:t>
            </w:r>
          </w:p>
        </w:tc>
        <w:tc>
          <w:tcPr>
            <w:tcW w:type="dxa" w:w="278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Eintrag</w:t>
            </w:r>
          </w:p>
        </w:tc>
      </w:tr>
      <w:tr>
        <w:trPr>
          <w:cantSplit/>
        </w:trPr>
        <w:tc>
          <w:tcPr>
            <w:tcW w:type="dxa" w:w="20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Haus</w:t>
            </w:r>
          </w:p>
        </w:tc>
        <w:tc>
          <w:tcPr>
            <w:tcW w:type="dxa" w:w="27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0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Version</w:t>
            </w:r>
          </w:p>
        </w:tc>
        <w:tc>
          <w:tcPr>
            <w:tcW w:type="dxa" w:w="27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0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Datum</w:t>
            </w:r>
          </w:p>
        </w:tc>
        <w:tc>
          <w:tcPr>
            <w:tcW w:type="dxa" w:w="27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0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Gültig ab</w:t>
            </w:r>
          </w:p>
        </w:tc>
        <w:tc>
          <w:tcPr>
            <w:tcW w:type="dxa" w:w="27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0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Erstellt (Funktion)</w:t>
            </w:r>
          </w:p>
        </w:tc>
        <w:tc>
          <w:tcPr>
            <w:tcW w:type="dxa" w:w="27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0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Geprüft (Funktion)</w:t>
            </w:r>
          </w:p>
        </w:tc>
        <w:tc>
          <w:tcPr>
            <w:tcW w:type="dxa" w:w="27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0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Freigegeben (oberste Leitung)</w:t>
            </w:r>
          </w:p>
        </w:tc>
        <w:tc>
          <w:tcPr>
            <w:tcW w:type="dxa" w:w="27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0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Nächste planmäßige Überprüfung</w:t>
            </w:r>
          </w:p>
        </w:tc>
        <w:tc>
          <w:tcPr>
            <w:tcW w:type="dxa" w:w="27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120" w:before="280"/>
      </w:pPr>
      <w:r>
        <w:rPr>
          <w:rFonts w:ascii="Aptos" w:cs="Aptos" w:eastAsia="Aptos" w:hAnsi="Aptos"/>
          <w:b/>
          <w:bCs/>
          <w:color w:val="8C5A2B"/>
          <w:sz w:val="26"/>
          <w:szCs w:val="26"/>
        </w:rPr>
        <w:t xml:space="preserve">A. Was die Norm verlangt und was diese Vorlage hinzufügt</w:t>
      </w:r>
    </w:p>
    <w:p>
      <w:pPr>
        <w:spacing w:after="140" w:before="0" w:line="300"/>
        <w:jc w:val="both"/>
      </w:pPr>
      <w:r>
        <w:rPr>
          <w:rFonts w:ascii="Aptos" w:cs="Aptos" w:eastAsia="Aptos" w:hAnsi="Aptos"/>
          <w:color w:val="1A1A1A"/>
          <w:sz w:val="21"/>
          <w:szCs w:val="21"/>
        </w:rPr>
        <w:t xml:space="preserve">Klausel 4.2 ist gegenüber 2015 strukturell unverändert. Zu bestimmen sind die relevanten interessierten Parteien und ihre relevanten Erfordernisse und Erwartungen. Die Informationen darüber sind zu überwachen und zu überprüfen.</w:t>
      </w:r>
    </w:p>
    <w:p>
      <w:pPr>
        <w:spacing w:after="140" w:before="0" w:line="300"/>
        <w:jc w:val="both"/>
      </w:pPr>
      <w:r>
        <w:rPr>
          <w:rFonts w:ascii="Aptos" w:cs="Aptos" w:eastAsia="Aptos" w:hAnsi="Aptos"/>
          <w:color w:val="1A1A1A"/>
          <w:sz w:val="21"/>
          <w:szCs w:val="21"/>
        </w:rPr>
        <w:t xml:space="preserve">Die einzige Ergänzung stammt aus Amd 1:2024: Relevante Parteien können klimabezogene Anforderungen haben. Gewicht, Trend, Quellen und Abdeckungsindikator sind Methode des Bandes, keine neuen Pflichten.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Prüfstein. </w:t>
            </w:r>
            <w:r>
              <w:rPr>
                <w:rFonts w:ascii="Aptos" w:cs="Aptos" w:eastAsia="Aptos" w:hAnsi="Aptos"/>
                <w:color w:val="1A1A1A"/>
                <w:sz w:val="21"/>
                <w:szCs w:val="21"/>
              </w:rPr>
              <w:t xml:space="preserve">Beschreibt das Register die heutige Wirklichkeit des Hauses? Ein gepflegtes, aber inhaltlich eingefrorenes Dokument verfehlt die seit 2015 bestehende Pflicht zur Überwachung und Überprüfung.</w:t>
            </w:r>
          </w:p>
        </w:tc>
      </w:tr>
    </w:tbl>
    <w:p>
      <w:pPr>
        <w:spacing w:after="120"/>
      </w:pPr>
    </w:p>
    <w:p>
      <w:pPr>
        <w:keepNext/>
        <w:spacing w:after="120" w:before="280"/>
      </w:pPr>
      <w:r>
        <w:rPr>
          <w:rFonts w:ascii="Aptos" w:cs="Aptos" w:eastAsia="Aptos" w:hAnsi="Aptos"/>
          <w:b/>
          <w:bCs/>
          <w:color w:val="8C5A2B"/>
          <w:sz w:val="26"/>
          <w:szCs w:val="26"/>
        </w:rPr>
        <w:t xml:space="preserve">B. Den Kreis prüfen</w:t>
      </w:r>
    </w:p>
    <w:p>
      <w:pPr>
        <w:spacing w:after="140" w:before="0" w:line="300"/>
        <w:jc w:val="both"/>
      </w:pPr>
      <w:r>
        <w:rPr>
          <w:rFonts w:ascii="Aptos" w:cs="Aptos" w:eastAsia="Aptos" w:hAnsi="Aptos"/>
          <w:color w:val="1A1A1A"/>
          <w:sz w:val="21"/>
          <w:szCs w:val="21"/>
        </w:rPr>
        <w:t xml:space="preserve">Prüfen Sie jede Kategorie mit drei Fragen. Kann der Akteur unsere Fähigkeit zur Qualitätsleistung beeinflussen? Hängt er von dieser Qualität ab? Kann er uns Anforderungen auferlegen, durch Vertrag, Vorschrift oder Marktdruck?</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91"/>
        <w:gridCol w:w="1446"/>
        <w:gridCol w:w="2891"/>
        <w:gridCol w:w="2410"/>
      </w:tblGrid>
      <w:tr>
        <w:trPr>
          <w:tblHeader/>
        </w:trPr>
        <w:tc>
          <w:tcPr>
            <w:tcW w:type="dxa" w:w="289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Kategorie (Band 2a, 1.9)</w:t>
            </w:r>
          </w:p>
        </w:tc>
        <w:tc>
          <w:tcPr>
            <w:tcW w:type="dxa" w:w="144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Für uns relevant? ja / nein / prüfen</w:t>
            </w:r>
          </w:p>
        </w:tc>
        <w:tc>
          <w:tcPr>
            <w:tcW w:type="dxa" w:w="289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Spezifische Akteure oder Segmente (Art, keine Namen nötig)</w:t>
            </w:r>
          </w:p>
        </w:tc>
        <w:tc>
          <w:tcPr>
            <w:tcW w:type="dxa" w:w="241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Begründung</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Leisure-Einzelgäste</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Gruppen über Reiseveranstalter</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Reisende Firmenkunden, Firmenkunden mit ESG-Lastenheft</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Kongress- und Veranstaltungsteilnehmende</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Mitarbeitende (nach Gruppen, z. B. Saisonkräfte)</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Lieferanten; Sublieferanten kritischer Dienstleister</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Eigentümerschaft; Immobilienfonds, Investor, Finanzierer</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Vertragspartner aus Management-, Pacht- oder Franchisevertrag</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Buchungsplattformen</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Bewertungsplattformen (als eigene Akteure)</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Behörden; Branchenverbände; Versicherer</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Zertifizierungsstelle; lokale Gemeinschaft</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keepNext/>
        <w:spacing w:after="120" w:before="280"/>
      </w:pPr>
      <w:r>
        <w:rPr>
          <w:rFonts w:ascii="Aptos" w:cs="Aptos" w:eastAsia="Aptos" w:hAnsi="Aptos"/>
          <w:b/>
          <w:bCs/>
          <w:color w:val="8C5A2B"/>
          <w:sz w:val="26"/>
          <w:szCs w:val="26"/>
        </w:rPr>
        <w:t xml:space="preserve">C. Register: Erfordernisse, reale Erwartungen, Gewicht</w:t>
      </w:r>
    </w:p>
    <w:p>
      <w:pPr>
        <w:spacing w:after="140" w:before="0" w:line="300"/>
        <w:jc w:val="both"/>
      </w:pPr>
      <w:r>
        <w:rPr>
          <w:rFonts w:ascii="Aptos" w:cs="Aptos" w:eastAsia="Aptos" w:hAnsi="Aptos"/>
          <w:color w:val="1A1A1A"/>
          <w:sz w:val="21"/>
          <w:szCs w:val="21"/>
        </w:rPr>
        <w:t xml:space="preserve">Erklärte Erfordernisse stehen in Verträgen und Fragebögen. Reale Erwartungen zeigen sich oft erst in Bewertungen, Kündigungen oder Personalabgängen. Tragen Sie beide getrennt ein.</w:t>
      </w:r>
    </w:p>
    <w:p>
      <w:pPr>
        <w:keepNext/>
        <w:spacing w:after="90" w:before="160"/>
      </w:pPr>
      <w:r>
        <w:rPr>
          <w:rFonts w:ascii="Aptos" w:cs="Aptos" w:eastAsia="Aptos" w:hAnsi="Aptos"/>
          <w:b/>
          <w:bCs/>
          <w:color w:val="5A5A5A"/>
          <w:sz w:val="18"/>
          <w:szCs w:val="18"/>
        </w:rPr>
        <w:t xml:space="preserve">C.1 Erwartungen und Gewicht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72"/>
        <w:gridCol w:w="1701"/>
        <w:gridCol w:w="1606"/>
        <w:gridCol w:w="1890"/>
        <w:gridCol w:w="1512"/>
        <w:gridCol w:w="850"/>
        <w:gridCol w:w="850"/>
        <w:gridCol w:w="757"/>
      </w:tblGrid>
      <w:tr>
        <w:trPr>
          <w:tblHeader/>
        </w:trPr>
        <w:tc>
          <w:tcPr>
            <w:tcW w:type="dxa" w:w="47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Nr.</w:t>
            </w:r>
          </w:p>
        </w:tc>
        <w:tc>
          <w:tcPr>
            <w:tcW w:type="dxa" w:w="170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Partei (spezifisch)</w:t>
            </w:r>
          </w:p>
        </w:tc>
        <w:tc>
          <w:tcPr>
            <w:tcW w:type="dxa" w:w="160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Erklärte Erfordernisse</w:t>
            </w:r>
          </w:p>
        </w:tc>
        <w:tc>
          <w:tcPr>
            <w:tcW w:type="dxa" w:w="189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Reale Erwartungen heute</w:t>
            </w:r>
          </w:p>
        </w:tc>
        <w:tc>
          <w:tcPr>
            <w:tcW w:type="dxa" w:w="151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Quelle der Erwartung</w:t>
            </w:r>
          </w:p>
        </w:tc>
        <w:tc>
          <w:tcPr>
            <w:tcW w:type="dxa" w:w="85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Gewicht Anf. / Erw.</w:t>
            </w:r>
          </w:p>
        </w:tc>
        <w:tc>
          <w:tcPr>
            <w:tcW w:type="dxa" w:w="85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Einfluss h / m / g</w:t>
            </w:r>
          </w:p>
        </w:tc>
        <w:tc>
          <w:tcPr>
            <w:tcW w:type="dxa" w:w="75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Trend ↑ → ↓</w:t>
            </w:r>
          </w:p>
        </w:tc>
      </w:tr>
      <w:tr>
        <w:trPr>
          <w:cantSplit/>
        </w:trPr>
        <w:tc>
          <w:tcPr>
            <w:tcW w:type="dxa" w:w="47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1</w:t>
            </w:r>
          </w:p>
        </w:tc>
        <w:tc>
          <w:tcPr>
            <w:tcW w:type="dxa" w:w="17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Beispiel (Kompositfall, anzupassen): Immobilienfonds mit Gebäudeanteil</w:t>
            </w:r>
          </w:p>
        </w:tc>
        <w:tc>
          <w:tcPr>
            <w:tcW w:type="dxa" w:w="16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Quartalsberichte zur operativen Leistung</w:t>
            </w:r>
          </w:p>
        </w:tc>
        <w:tc>
          <w:tcPr>
            <w:tcW w:type="dxa" w:w="18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Nachprüfbare ESG-Daten über zwei Jahre; Pönale bei Bewertung unter Schwelle</w:t>
            </w:r>
          </w:p>
        </w:tc>
        <w:tc>
          <w:tcPr>
            <w:tcW w:type="dxa" w:w="15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Vertrag; Due-Diligence-Anforderungen</w:t>
            </w:r>
          </w:p>
        </w:tc>
        <w:tc>
          <w:tcPr>
            <w:tcW w:type="dxa" w:w="8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Anf.</w:t>
            </w:r>
          </w:p>
        </w:tc>
        <w:tc>
          <w:tcPr>
            <w:tcW w:type="dxa" w:w="8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h</w:t>
            </w:r>
          </w:p>
        </w:tc>
        <w:tc>
          <w:tcPr>
            <w:tcW w:type="dxa" w:w="7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w:t>
            </w:r>
          </w:p>
        </w:tc>
      </w:tr>
      <w:tr>
        <w:trPr>
          <w:cantSplit/>
        </w:trPr>
        <w:tc>
          <w:tcPr>
            <w:tcW w:type="dxa" w:w="47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7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8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7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7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8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7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7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8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7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7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8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7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7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8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7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7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8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7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7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8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69"/>
        <w:gridCol w:w="7469"/>
      </w:tblGrid>
      <w:tr>
        <w:trPr>
          <w:tblHeader/>
        </w:trPr>
        <w:tc>
          <w:tcPr>
            <w:tcW w:type="dxa" w:w="216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Begriff</w:t>
            </w:r>
          </w:p>
        </w:tc>
        <w:tc>
          <w:tcPr>
            <w:tcW w:type="dxa" w:w="746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Bedeutung in dieser Vorlage</w:t>
            </w:r>
          </w:p>
        </w:tc>
      </w:tr>
      <w:tr>
        <w:trPr>
          <w:cantSplit/>
        </w:trPr>
        <w:tc>
          <w:tcPr>
            <w:tcW w:type="dxa" w:w="216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Anforderung (Anf.)</w:t>
            </w:r>
          </w:p>
        </w:tc>
        <w:tc>
          <w:tcPr>
            <w:tcW w:type="dxa" w:w="746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Verbindlich: Auflagen der Behörden, Datenschutz, Vertragsvorgaben, KPIs aus Management- oder Pachtvertrag. Nichterfüllung hat unmittelbare Folgen.</w:t>
            </w:r>
          </w:p>
        </w:tc>
      </w:tr>
      <w:tr>
        <w:trPr>
          <w:cantSplit/>
        </w:trPr>
        <w:tc>
          <w:tcPr>
            <w:tcW w:type="dxa" w:w="216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Erwartung (Erw.)</w:t>
            </w:r>
          </w:p>
        </w:tc>
        <w:tc>
          <w:tcPr>
            <w:tcW w:type="dxa" w:w="746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Wertsteigernd: Erlebniswünsche, Wirkung auf das Umfeld. Nichterfüllung heißt entgangener Mehrwert, nicht automatisch Abweichung.</w:t>
            </w:r>
          </w:p>
        </w:tc>
      </w:tr>
      <w:tr>
        <w:trPr>
          <w:cantSplit/>
        </w:trPr>
        <w:tc>
          <w:tcPr>
            <w:tcW w:type="dxa" w:w="216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Sonderfall</w:t>
            </w:r>
          </w:p>
        </w:tc>
        <w:tc>
          <w:tcPr>
            <w:tcW w:type="dxa" w:w="746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Der Band stuft Erwartungen der Mitarbeitenden bei struktureller Personalknappheit wie eine Anforderung ein, weil Fluktuation die Kontinuität gefährdet. Das ist eine Lesart, keine Normvorgabe.</w:t>
            </w:r>
          </w:p>
        </w:tc>
      </w:tr>
      <w:tr>
        <w:trPr>
          <w:cantSplit/>
        </w:trPr>
        <w:tc>
          <w:tcPr>
            <w:tcW w:type="dxa" w:w="216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Einfluss</w:t>
            </w:r>
          </w:p>
        </w:tc>
        <w:tc>
          <w:tcPr>
            <w:tcW w:type="dxa" w:w="746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Vom Haus festzulegen, z. B. hoch: kann Verträge, Finanzierung oder Sichtbarkeit unmittelbar verändern.</w:t>
            </w:r>
          </w:p>
        </w:tc>
      </w:tr>
    </w:tbl>
    <w:p>
      <w:pPr>
        <w:spacing w:after="140"/>
      </w:pPr>
    </w:p>
    <w:p>
      <w:pPr>
        <w:keepNext/>
        <w:spacing w:after="90" w:before="160"/>
      </w:pPr>
      <w:r>
        <w:rPr>
          <w:rFonts w:ascii="Aptos" w:cs="Aptos" w:eastAsia="Aptos" w:hAnsi="Aptos"/>
          <w:b/>
          <w:bCs/>
          <w:color w:val="5A5A5A"/>
          <w:sz w:val="18"/>
          <w:szCs w:val="18"/>
        </w:rPr>
        <w:t xml:space="preserve">C.2 Steuerung: Verknüpfung mit Risikoregister, Chancen und Zielen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77"/>
        <w:gridCol w:w="1527"/>
        <w:gridCol w:w="2099"/>
        <w:gridCol w:w="1336"/>
        <w:gridCol w:w="2099"/>
        <w:gridCol w:w="1145"/>
        <w:gridCol w:w="955"/>
      </w:tblGrid>
      <w:tr>
        <w:trPr>
          <w:tblHeader/>
        </w:trPr>
        <w:tc>
          <w:tcPr>
            <w:tcW w:type="dxa" w:w="47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Nr.</w:t>
            </w:r>
          </w:p>
        </w:tc>
        <w:tc>
          <w:tcPr>
            <w:tcW w:type="dxa" w:w="152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In Prozess oder Ziel gesteuert? (wo)</w:t>
            </w:r>
          </w:p>
        </w:tc>
        <w:tc>
          <w:tcPr>
            <w:tcW w:type="dxa" w:w="209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Risiko aus Nichterfüllung (Reg.-Nr.)</w:t>
            </w:r>
          </w:p>
        </w:tc>
        <w:tc>
          <w:tcPr>
            <w:tcW w:type="dxa" w:w="133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Chance (Reg.-Nr.)</w:t>
            </w:r>
          </w:p>
        </w:tc>
        <w:tc>
          <w:tcPr>
            <w:tcW w:type="dxa" w:w="209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Maßnahme oder Qualitätsziel (6.2)</w:t>
            </w:r>
          </w:p>
        </w:tc>
        <w:tc>
          <w:tcPr>
            <w:tcW w:type="dxa" w:w="114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Verant­wortlich</w:t>
            </w:r>
          </w:p>
        </w:tc>
        <w:tc>
          <w:tcPr>
            <w:tcW w:type="dxa" w:w="95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Nächste Prüfung</w:t>
            </w:r>
          </w:p>
        </w:tc>
      </w:tr>
      <w:tr>
        <w:trPr>
          <w:cantSplit/>
        </w:trPr>
        <w:tc>
          <w:tcPr>
            <w:tcW w:type="dxa" w:w="4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1</w:t>
            </w:r>
          </w:p>
        </w:tc>
        <w:tc>
          <w:tcPr>
            <w:tcW w:type="dxa" w:w="15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Bisher nicht</w:t>
            </w:r>
          </w:p>
        </w:tc>
        <w:tc>
          <w:tcPr>
            <w:tcW w:type="dxa" w:w="20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ESG-Daten fehlen zur Due Diligence; Auswirkung hoch, Wahrscheinlichkeit mittel</w:t>
            </w:r>
          </w:p>
        </w:tc>
        <w:tc>
          <w:tcPr>
            <w:tcW w:type="dxa" w:w="133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Zugang zu günstigerem Kapital</w:t>
            </w:r>
          </w:p>
        </w:tc>
        <w:tc>
          <w:tcPr>
            <w:tcW w:type="dxa" w:w="20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Nachprüfbares ESG-Datensystem aufbauen; Politik überprüfen</w:t>
            </w:r>
          </w:p>
        </w:tc>
        <w:tc>
          <w:tcPr>
            <w:tcW w:type="dxa" w:w="11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Leitung</w:t>
            </w:r>
          </w:p>
        </w:tc>
        <w:tc>
          <w:tcPr>
            <w:tcW w:type="dxa" w:w="9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5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0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3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0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5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0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3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0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5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0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3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0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5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0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3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0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5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0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3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0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5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0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3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0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5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0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3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0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120" w:before="280"/>
      </w:pPr>
      <w:r>
        <w:rPr>
          <w:rFonts w:ascii="Aptos" w:cs="Aptos" w:eastAsia="Aptos" w:hAnsi="Aptos"/>
          <w:b/>
          <w:bCs/>
          <w:color w:val="8C5A2B"/>
          <w:sz w:val="26"/>
          <w:szCs w:val="26"/>
        </w:rPr>
        <w:t xml:space="preserve">D. Quellen der Erwartungen</w:t>
      </w:r>
    </w:p>
    <w:p>
      <w:pPr>
        <w:keepNext/>
        <w:spacing w:after="140" w:before="0" w:line="300"/>
        <w:jc w:val="both"/>
      </w:pPr>
      <w:r>
        <w:rPr>
          <w:rFonts w:ascii="Aptos" w:cs="Aptos" w:eastAsia="Aptos" w:hAnsi="Aptos"/>
          <w:color w:val="1A1A1A"/>
          <w:sz w:val="21"/>
          <w:szCs w:val="21"/>
        </w:rPr>
        <w:t xml:space="preserve">Das System speist reale Kanäle ein, nicht nur eigene Fragebögen. Legen Sie je Kategorie Quelle, Frequenz und Verantwortung fest.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8"/>
        <w:gridCol w:w="3641"/>
        <w:gridCol w:w="1392"/>
        <w:gridCol w:w="1392"/>
        <w:gridCol w:w="1285"/>
      </w:tblGrid>
      <w:tr>
        <w:trPr>
          <w:tblHeader/>
        </w:trPr>
        <w:tc>
          <w:tcPr>
            <w:tcW w:type="dxa" w:w="192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Kategorie</w:t>
            </w:r>
          </w:p>
        </w:tc>
        <w:tc>
          <w:tcPr>
            <w:tcW w:type="dxa" w:w="364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Quelle oder Kanal (Vorschläge aus dem Band)</w:t>
            </w:r>
          </w:p>
        </w:tc>
        <w:tc>
          <w:tcPr>
            <w:tcW w:type="dxa" w:w="139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Erhebungsfrequenz</w:t>
            </w:r>
          </w:p>
        </w:tc>
        <w:tc>
          <w:tcPr>
            <w:tcW w:type="dxa" w:w="139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Verant­wortlich</w:t>
            </w:r>
          </w:p>
        </w:tc>
        <w:tc>
          <w:tcPr>
            <w:tcW w:type="dxa" w:w="128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Letzte Auswertung</w:t>
            </w:r>
          </w:p>
        </w:tc>
      </w:tr>
      <w:tr>
        <w:trPr>
          <w:cantSplit/>
        </w:trPr>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Gäste</w:t>
            </w:r>
          </w:p>
        </w:tc>
        <w:tc>
          <w:tcPr>
            <w:tcW w:type="dxa" w:w="36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Online-Bewertungen, Gespräche beim Check-out, Rückkehrdaten, Beschwerden</w:t>
            </w:r>
          </w:p>
        </w:tc>
        <w:tc>
          <w:tcPr>
            <w:tcW w:type="dxa" w:w="139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9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28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Firmenkunden, Reiseveranstalter</w:t>
            </w:r>
          </w:p>
        </w:tc>
        <w:tc>
          <w:tcPr>
            <w:tcW w:type="dxa" w:w="36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Vertrags-KPIs, Lieferantenqualifizierung, Vertragsdurchsicht</w:t>
            </w:r>
          </w:p>
        </w:tc>
        <w:tc>
          <w:tcPr>
            <w:tcW w:type="dxa" w:w="139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9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28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Mitarbeitende</w:t>
            </w:r>
          </w:p>
        </w:tc>
        <w:tc>
          <w:tcPr>
            <w:tcW w:type="dxa" w:w="36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Mitarbeiterbefragung, Klimabefragung, Personal- und Austrittsgespräche</w:t>
            </w:r>
          </w:p>
        </w:tc>
        <w:tc>
          <w:tcPr>
            <w:tcW w:type="dxa" w:w="139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9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28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Buchungsplattformen</w:t>
            </w:r>
          </w:p>
        </w:tc>
        <w:tc>
          <w:tcPr>
            <w:tcW w:type="dxa" w:w="36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Plattform-Dashboards: Bewertung, Antwortquote, Reklamationsquote</w:t>
            </w:r>
          </w:p>
        </w:tc>
        <w:tc>
          <w:tcPr>
            <w:tcW w:type="dxa" w:w="139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9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28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Eigentümerschaft, Investor</w:t>
            </w:r>
          </w:p>
        </w:tc>
        <w:tc>
          <w:tcPr>
            <w:tcW w:type="dxa" w:w="36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Verträge, Berichtsvorgaben, Due-Diligence-Anforderungen</w:t>
            </w:r>
          </w:p>
        </w:tc>
        <w:tc>
          <w:tcPr>
            <w:tcW w:type="dxa" w:w="139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9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28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Behörden, Verbände</w:t>
            </w:r>
          </w:p>
        </w:tc>
        <w:tc>
          <w:tcPr>
            <w:tcW w:type="dxa" w:w="36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Rundschreiben, Newsletter der Kammer, Verbandsinformationen</w:t>
            </w:r>
          </w:p>
        </w:tc>
        <w:tc>
          <w:tcPr>
            <w:tcW w:type="dxa" w:w="139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9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28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36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9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9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28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36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9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9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28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keepNext/>
        <w:spacing w:after="120" w:before="280"/>
      </w:pPr>
      <w:r>
        <w:rPr>
          <w:rFonts w:ascii="Aptos" w:cs="Aptos" w:eastAsia="Aptos" w:hAnsi="Aptos"/>
          <w:b/>
          <w:bCs/>
          <w:color w:val="8C5A2B"/>
          <w:sz w:val="26"/>
          <w:szCs w:val="26"/>
        </w:rPr>
        <w:t xml:space="preserve">E. Auslöser für eine sofortige Aktualisierung</w:t>
      </w:r>
    </w:p>
    <w:p>
      <w:pPr>
        <w:spacing w:after="140" w:before="0" w:line="300"/>
        <w:jc w:val="both"/>
      </w:pPr>
      <w:r>
        <w:rPr>
          <w:rFonts w:ascii="Aptos" w:cs="Aptos" w:eastAsia="Aptos" w:hAnsi="Aptos"/>
          <w:color w:val="1A1A1A"/>
          <w:sz w:val="21"/>
          <w:szCs w:val="21"/>
        </w:rPr>
        <w:t xml:space="preserve">Ein neuer Investor, ein Managementvertrag oder ein neuer dominierender Vertriebskanal erzeugt eine neue Partei. Aktualisieren Sie dann sofort, nicht erst im Jahreszyklus.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48"/>
        <w:gridCol w:w="1095"/>
        <w:gridCol w:w="2629"/>
        <w:gridCol w:w="1643"/>
        <w:gridCol w:w="1423"/>
      </w:tblGrid>
      <w:tr>
        <w:trPr>
          <w:tblHeader/>
        </w:trPr>
        <w:tc>
          <w:tcPr>
            <w:tcW w:type="dxa" w:w="284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Ereignis</w:t>
            </w:r>
          </w:p>
        </w:tc>
        <w:tc>
          <w:tcPr>
            <w:tcW w:type="dxa" w:w="109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Datum</w:t>
            </w:r>
          </w:p>
        </w:tc>
        <w:tc>
          <w:tcPr>
            <w:tcW w:type="dxa" w:w="262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Neue oder veränderte Partei</w:t>
            </w:r>
          </w:p>
        </w:tc>
        <w:tc>
          <w:tcPr>
            <w:tcW w:type="dxa" w:w="164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Register aktualisiert am</w:t>
            </w:r>
          </w:p>
        </w:tc>
        <w:tc>
          <w:tcPr>
            <w:tcW w:type="dxa" w:w="142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durch</w:t>
            </w:r>
          </w:p>
        </w:tc>
      </w:tr>
      <w:tr>
        <w:trPr>
          <w:cantSplit/>
        </w:trPr>
        <w:tc>
          <w:tcPr>
            <w:tcW w:type="dxa" w:w="28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109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6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64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42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8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109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6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64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42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8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109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6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64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42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8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109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6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64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42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8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109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6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64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42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8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109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6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64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42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120" w:before="280"/>
      </w:pPr>
      <w:r>
        <w:rPr>
          <w:rFonts w:ascii="Aptos" w:cs="Aptos" w:eastAsia="Aptos" w:hAnsi="Aptos"/>
          <w:b/>
          <w:bCs/>
          <w:color w:val="8C5A2B"/>
          <w:sz w:val="26"/>
          <w:szCs w:val="26"/>
        </w:rPr>
        <w:t xml:space="preserve">F. Abdeckungsindikator</w:t>
      </w:r>
    </w:p>
    <w:p>
      <w:pPr>
        <w:keepNext/>
        <w:spacing w:after="140" w:before="0" w:line="300"/>
        <w:jc w:val="both"/>
      </w:pPr>
      <w:r>
        <w:rPr>
          <w:rFonts w:ascii="Aptos" w:cs="Aptos" w:eastAsia="Aptos" w:hAnsi="Aptos"/>
          <w:color w:val="1A1A1A"/>
          <w:sz w:val="21"/>
          <w:szCs w:val="21"/>
        </w:rPr>
        <w:t xml:space="preserve">Der Indikator misst nicht die Zufriedenheit der Parteien. Er misst, welcher Anteil ihrer Erwartungen in mindestens einem Prozess oder Ziel gesteuert wird.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29"/>
        <w:gridCol w:w="1752"/>
        <w:gridCol w:w="1533"/>
        <w:gridCol w:w="1095"/>
        <w:gridCol w:w="2629"/>
      </w:tblGrid>
      <w:tr>
        <w:trPr>
          <w:tblHeader/>
        </w:trPr>
        <w:tc>
          <w:tcPr>
            <w:tcW w:type="dxa" w:w="262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Kategorie</w:t>
            </w:r>
          </w:p>
        </w:tc>
        <w:tc>
          <w:tcPr>
            <w:tcW w:type="dxa" w:w="175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Identifizierte Erwartungen</w:t>
            </w:r>
          </w:p>
        </w:tc>
        <w:tc>
          <w:tcPr>
            <w:tcW w:type="dxa" w:w="153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davon gesteuert</w:t>
            </w:r>
          </w:p>
        </w:tc>
        <w:tc>
          <w:tcPr>
            <w:tcW w:type="dxa" w:w="109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Anteil (%)</w:t>
            </w:r>
          </w:p>
        </w:tc>
        <w:tc>
          <w:tcPr>
            <w:tcW w:type="dxa" w:w="262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Bemerkung</w:t>
            </w:r>
          </w:p>
        </w:tc>
      </w:tr>
      <w:tr>
        <w:trPr>
          <w:cantSplit/>
        </w:trPr>
        <w:tc>
          <w:tcPr>
            <w:tcW w:type="dxa" w:w="26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175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5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9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6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6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175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5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9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6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6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175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5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9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6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6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175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5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9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6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6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175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5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9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6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6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175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5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9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6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6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Summe</w:t>
            </w:r>
          </w:p>
        </w:tc>
        <w:tc>
          <w:tcPr>
            <w:tcW w:type="dxa" w:w="175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5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9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6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120" w:before="280"/>
      </w:pPr>
      <w:r>
        <w:rPr>
          <w:rFonts w:ascii="Aptos" w:cs="Aptos" w:eastAsia="Aptos" w:hAnsi="Aptos"/>
          <w:b/>
          <w:bCs/>
          <w:color w:val="8C5A2B"/>
          <w:sz w:val="26"/>
          <w:szCs w:val="26"/>
        </w:rPr>
        <w:t xml:space="preserve">G. Prüffragen vor der Freigabe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354"/>
        <w:gridCol w:w="1071"/>
        <w:gridCol w:w="3213"/>
      </w:tblGrid>
      <w:tr>
        <w:trPr>
          <w:tblHeader/>
        </w:trPr>
        <w:tc>
          <w:tcPr>
            <w:tcW w:type="dxa" w:w="535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Prüffrage</w:t>
            </w:r>
          </w:p>
        </w:tc>
        <w:tc>
          <w:tcPr>
            <w:tcW w:type="dxa" w:w="107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ja / nein</w:t>
            </w:r>
          </w:p>
        </w:tc>
        <w:tc>
          <w:tcPr>
            <w:tcW w:type="dxa" w:w="321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Evidenz oder Bemerkung</w:t>
            </w:r>
          </w:p>
        </w:tc>
      </w:tr>
      <w:tr>
        <w:trPr>
          <w:cantSplit/>
        </w:trPr>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Sind «die Kunden» in Segmente mit eigenen Erwartungen aufgeteilt?</w:t>
            </w:r>
          </w:p>
        </w:tc>
        <w:tc>
          <w:tcPr>
            <w:tcW w:type="dxa" w:w="10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32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Sind die Mitarbeitenden mit Daten aus den Personalprozessen erfasst?</w:t>
            </w:r>
          </w:p>
        </w:tc>
        <w:tc>
          <w:tcPr>
            <w:tcW w:type="dxa" w:w="10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32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Sind Anforderung und Erwartung unterschieden?</w:t>
            </w:r>
          </w:p>
        </w:tc>
        <w:tc>
          <w:tcPr>
            <w:tcW w:type="dxa" w:w="10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32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Fließt jede unzureichend gesteuerte Erwartung ins Risikoregister (6.1)?</w:t>
            </w:r>
          </w:p>
        </w:tc>
        <w:tc>
          <w:tcPr>
            <w:tcW w:type="dxa" w:w="10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32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Ist das Register mit der Planung der Qualitätsziele (6.2) verbunden?</w:t>
            </w:r>
          </w:p>
        </w:tc>
        <w:tc>
          <w:tcPr>
            <w:tcW w:type="dxa" w:w="10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32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Werden Chancen ebenso geführt wie Risiken?</w:t>
            </w:r>
          </w:p>
        </w:tc>
        <w:tc>
          <w:tcPr>
            <w:tcW w:type="dxa" w:w="10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32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Wurden klimabezogene Anforderungen relevanter Parteien geprüft?</w:t>
            </w:r>
          </w:p>
        </w:tc>
        <w:tc>
          <w:tcPr>
            <w:tcW w:type="dxa" w:w="10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32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Ist seit der letzten Fassung ein Kontextwechsel eingetreten, der fehlt?</w:t>
            </w:r>
          </w:p>
        </w:tc>
        <w:tc>
          <w:tcPr>
            <w:tcW w:type="dxa" w:w="10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32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120" w:before="280"/>
      </w:pPr>
      <w:r>
        <w:rPr>
          <w:rFonts w:ascii="Aptos" w:cs="Aptos" w:eastAsia="Aptos" w:hAnsi="Aptos"/>
          <w:b/>
          <w:bCs/>
          <w:color w:val="8C5A2B"/>
          <w:sz w:val="26"/>
          <w:szCs w:val="26"/>
        </w:rPr>
        <w:t xml:space="preserve">Was dieses Material nicht ist</w:t>
      </w:r>
    </w:p>
    <w:p>
      <w:pPr>
        <w:spacing w:after="140" w:before="0" w:line="300"/>
        <w:jc w:val="both"/>
      </w:pPr>
      <w:r>
        <w:rPr>
          <w:rFonts w:ascii="Aptos" w:cs="Aptos" w:eastAsia="Aptos" w:hAnsi="Aptos"/>
          <w:color w:val="1A1A1A"/>
          <w:sz w:val="21"/>
          <w:szCs w:val="21"/>
        </w:rPr>
        <w:t xml:space="preserve">Diese Vorlage ersetzt nicht den Normtext der ISO 9001:2026 und keine Abstimmung mit der Zertifizierungsstelle. Sie ist keine Rechts- oder Zertifizierungsberatung. Sie ist an das eigene Haus anzupassen; welche Parteien relevant sind, entscheidet dessen Leitung. Stand: 13. Oktober 2026.</w:t>
      </w:r>
    </w:p>
    <w:p>
      <w:pPr>
        <w:spacing w:after="140" w:before="0" w:line="300"/>
        <w:jc w:val="both"/>
      </w:pPr>
      <w:r>
        <w:rPr>
          <w:rFonts w:ascii="Aptos" w:cs="Aptos" w:eastAsia="Aptos" w:hAnsi="Aptos"/>
          <w:i/>
          <w:iCs/>
          <w:color w:val="5A5A5A"/>
          <w:sz w:val="21"/>
          <w:szCs w:val="21"/>
        </w:rPr>
        <w:t xml:space="preserve">Bezug im Buch: Band 2a, Abschnitte 1.9 und 2.1.</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5A5A5A"/>
        <w:sz w:val="16"/>
        <w:szCs w:val="16"/>
      </w:rPr>
      <w:t xml:space="preserve">Francesco Dore · Das Steuer und die Lupe · Band 2a · Seite </w:t>
    </w:r>
    <w:r>
      <w:rPr>
        <w:rFonts w:ascii="Aptos" w:cs="Aptos" w:eastAsia="Aptos" w:hAnsi="Aptos"/>
        <w:color w:val="5A5A5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ptos" w:cs="Aptos" w:eastAsia="Aptos" w:hAnsi="Aptos"/>
      <w:b/>
      <w:bCs/>
      <w:color w:val="002060"/>
      <w:sz w:val="36"/>
      <w:szCs w:val="3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Francesco Dore</dc:creator>
  <cp:lastModifiedBy>Un-named</cp:lastModifiedBy>
  <cp:revision>1</cp:revision>
  <dcterms:created xsi:type="dcterms:W3CDTF">2026-10-13T00:13:09.762Z</dcterms:created>
  <dcterms:modified xsi:type="dcterms:W3CDTF">2026-10-13T00:13:09.763Z</dcterms:modified>
</cp:coreProperties>
</file>

<file path=docProps/custom.xml><?xml version="1.0" encoding="utf-8"?>
<Properties xmlns="http://schemas.openxmlformats.org/officeDocument/2006/custom-properties" xmlns:vt="http://schemas.openxmlformats.org/officeDocument/2006/docPropsVTypes"/>
</file>