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2a · ISO 9001:2026</w:t>
      </w:r>
    </w:p>
    <w:p>
      <w:pPr>
        <w:spacing w:after="200"/>
      </w:pPr>
      <w:r>
        <w:rPr>
          <w:rFonts w:ascii="Aptos" w:cs="Aptos" w:eastAsia="Aptos" w:hAnsi="Aptos"/>
          <w:b/>
          <w:bCs/>
          <w:color w:val="8C5A2B"/>
          <w:sz w:val="18"/>
          <w:szCs w:val="18"/>
        </w:rPr>
        <w:t xml:space="preserve">VORLAGE ZU DEN ABSCHNITTEN 1.4 UND 2.3</w:t>
      </w:r>
    </w:p>
    <w:p>
      <w:pPr>
        <w:pStyle w:val="Heading1"/>
        <w:spacing w:after="120" w:line="360"/>
      </w:pPr>
      <w:r>
        <w:rPr>
          <w:rFonts w:ascii="Aptos" w:cs="Aptos" w:eastAsia="Aptos" w:hAnsi="Aptos"/>
          <w:b/>
          <w:bCs/>
          <w:color w:val="002060"/>
          <w:sz w:val="36"/>
          <w:szCs w:val="36"/>
        </w:rPr>
        <w:t xml:space="preserve">Risiko- und Chancenregister</w:t>
      </w:r>
    </w:p>
    <w:p>
      <w:pPr>
        <w:spacing w:after="200"/>
      </w:pPr>
      <w:r>
        <w:rPr>
          <w:rFonts w:ascii="Aptos" w:cs="Aptos" w:eastAsia="Aptos" w:hAnsi="Aptos"/>
          <w:i/>
          <w:iCs/>
          <w:color w:val="5A5A5A"/>
          <w:sz w:val="22"/>
          <w:szCs w:val="22"/>
        </w:rPr>
        <w:t xml:space="preserve">Kalibrierte Skalen, Behandlungsmaßnahmen mit Verantwortung, Frist und Indikator, Chancen mit gleichem Gewicht, Aktualisierungsauslöser</w:t>
      </w:r>
    </w:p>
    <w:p>
      <w:pPr>
        <w:pBdr>
          <w:bottom w:val="single" w:color="C9BBA6" w:sz="6" w:space="4"/>
        </w:pBdr>
        <w:spacing w:after="240"/>
      </w:pPr>
      <w:r>
        <w:rPr>
          <w:rFonts w:ascii="Aptos" w:cs="Aptos" w:eastAsia="Aptos" w:hAnsi="Aptos"/>
          <w:color w:val="5A5A5A"/>
          <w:sz w:val="17"/>
          <w:szCs w:val="17"/>
        </w:rPr>
        <w:t xml:space="preserve">Stand: 13. Oktober 2026 · buecher.effedore.com</w:t>
      </w:r>
    </w:p>
    <w:p>
      <w:pPr>
        <w:keepNext/>
        <w:spacing w:after="90" w:before="160"/>
      </w:pPr>
      <w:r>
        <w:rPr>
          <w:rFonts w:ascii="Aptos" w:cs="Aptos" w:eastAsia="Aptos" w:hAnsi="Aptos"/>
          <w:b/>
          <w:bCs/>
          <w:color w:val="5A5A5A"/>
          <w:sz w:val="18"/>
          <w:szCs w:val="18"/>
        </w:rPr>
        <w:t xml:space="preserve">Dokumentkopf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14"/>
        <w:gridCol w:w="6024"/>
      </w:tblGrid>
      <w:tr>
        <w:trPr>
          <w:tblHeader/>
        </w:trPr>
        <w:tc>
          <w:tcPr>
            <w:tcW w:type="dxa" w:w="361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602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Haus</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Geltungsbereich (Prozesse, Standorte)</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Version</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Datum</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Erstellt (Name, Funktion)</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Geprüft (Name, Funktion)</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Freigegeben (Leitung)</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Nächste planmäßige Überprüfung</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A. Zum Gebrauch</w:t>
      </w:r>
    </w:p>
    <w:p>
      <w:pPr>
        <w:spacing w:after="140" w:before="0" w:line="300"/>
        <w:jc w:val="both"/>
      </w:pPr>
      <w:r>
        <w:rPr>
          <w:rFonts w:ascii="Aptos" w:cs="Aptos" w:eastAsia="Aptos" w:hAnsi="Aptos"/>
          <w:color w:val="1A1A1A"/>
          <w:sz w:val="21"/>
          <w:szCs w:val="21"/>
        </w:rPr>
        <w:t xml:space="preserve">Die ISO 9001:2026 gliedert die Klausel 6.1 in 6.1.1 bis 6.1.3. Risiken (6.1.2) und Chancen (6.1.3) stehen damit getrennt. Diese Vorlage führt beide mit derselben Struktur aus Bewertung, Maßnahme, Verantwortung, Frist und Indikator.</w:t>
      </w:r>
    </w:p>
    <w:p>
      <w:pPr>
        <w:spacing w:after="140" w:before="0" w:line="300"/>
        <w:jc w:val="both"/>
      </w:pPr>
      <w:r>
        <w:rPr>
          <w:rFonts w:ascii="Aptos" w:cs="Aptos" w:eastAsia="Aptos" w:hAnsi="Aptos"/>
          <w:color w:val="1A1A1A"/>
          <w:sz w:val="21"/>
          <w:szCs w:val="21"/>
        </w:rPr>
        <w:t xml:space="preserve">Eine bestimmte Methode schreibt die Norm nicht vor. Skalen, Schwellen und Prüfrhythmus legt das Haus fest. Die ISO 31000:2018 ist eine nützliche Referenz für inhärentes Risiko und Restrisiko, keine Pflicht der Norm.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Wem das Register gehört </w:t>
            </w:r>
            <w:r>
              <w:rPr>
                <w:rFonts w:ascii="Aptos" w:cs="Aptos" w:eastAsia="Aptos" w:hAnsi="Aptos"/>
                <w:color w:val="1A1A1A"/>
                <w:sz w:val="21"/>
                <w:szCs w:val="21"/>
              </w:rPr>
              <w:t xml:space="preserve">Das Register führen die Prozessverantwortlichen, geprüft wird es in der Managementbewertung an den tatsächlich getroffenen Entscheidungen. Die Qualitätsbeauftragte bleibt Hüterin der Methode.</w:t>
            </w:r>
          </w:p>
        </w:tc>
      </w:tr>
    </w:tbl>
    <w:p>
      <w:pPr>
        <w:spacing w:after="120"/>
      </w:pPr>
    </w:p>
    <w:p>
      <w:pPr>
        <w:keepNext/>
        <w:spacing w:after="120" w:before="280"/>
      </w:pPr>
      <w:r>
        <w:rPr>
          <w:rFonts w:ascii="Aptos" w:cs="Aptos" w:eastAsia="Aptos" w:hAnsi="Aptos"/>
          <w:b/>
          <w:bCs/>
          <w:color w:val="8C5A2B"/>
          <w:sz w:val="26"/>
          <w:szCs w:val="26"/>
        </w:rPr>
        <w:t xml:space="preserve">B. Bewertungskriterien: vor der Bewertung festlegen</w:t>
      </w:r>
    </w:p>
    <w:p>
      <w:pPr>
        <w:spacing w:after="140" w:before="0" w:line="300"/>
        <w:jc w:val="both"/>
      </w:pPr>
      <w:r>
        <w:rPr>
          <w:rFonts w:ascii="Aptos" w:cs="Aptos" w:eastAsia="Aptos" w:hAnsi="Aptos"/>
          <w:color w:val="1A1A1A"/>
          <w:sz w:val="21"/>
          <w:szCs w:val="21"/>
        </w:rPr>
        <w:t xml:space="preserve">Die Kriterien werden vereinbart und geteilt, bevor das erste Risiko eingestuft wird. Sonst wandert die Schwelle unbewusst dorthin, wo am wenigsten Arbeit entsteht.</w:t>
      </w:r>
    </w:p>
    <w:p>
      <w:pPr>
        <w:keepNext/>
        <w:spacing w:after="90" w:before="160"/>
      </w:pPr>
      <w:r>
        <w:rPr>
          <w:rFonts w:ascii="Aptos" w:cs="Aptos" w:eastAsia="Aptos" w:hAnsi="Aptos"/>
          <w:b/>
          <w:bCs/>
          <w:color w:val="5A5A5A"/>
          <w:sz w:val="18"/>
          <w:szCs w:val="18"/>
        </w:rPr>
        <w:t xml:space="preserve">B1 Eintrittswahrscheinlichkeit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8"/>
        <w:gridCol w:w="4819"/>
        <w:gridCol w:w="2891"/>
      </w:tblGrid>
      <w:tr>
        <w:trPr>
          <w:tblHeader/>
        </w:trPr>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Stufe</w:t>
            </w:r>
          </w:p>
        </w:tc>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Kriterium aus dem Buch (Betriebsgeschichte)</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Im Haus festgelegt</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Gering</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Das Ereignis ist im Betrachtungszeitraum weniger als einmal eingetreten.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Mittel</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Das Ereignis ist ein- bis viermal eingetreten.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Hoch</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Das Ereignis ist mehr als viermal eingetreten.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Betrachtungszeitraum</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Buchfall 1.4: das letzte Jahr. Buchfall 2.3: 24 Monate.</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______ Monate</w:t>
            </w:r>
          </w:p>
        </w:tc>
      </w:tr>
    </w:tbl>
    <w:p>
      <w:pPr>
        <w:spacing w:after="140"/>
      </w:pPr>
    </w:p>
    <w:p>
      <w:pPr>
        <w:keepNext/>
        <w:spacing w:after="90" w:before="160"/>
      </w:pPr>
      <w:r>
        <w:rPr>
          <w:rFonts w:ascii="Aptos" w:cs="Aptos" w:eastAsia="Aptos" w:hAnsi="Aptos"/>
          <w:b/>
          <w:bCs/>
          <w:color w:val="5A5A5A"/>
          <w:sz w:val="18"/>
          <w:szCs w:val="18"/>
        </w:rPr>
        <w:t xml:space="preserve">B2 Auswirkung auf das Gästeerlebnis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8"/>
        <w:gridCol w:w="4819"/>
        <w:gridCol w:w="2891"/>
      </w:tblGrid>
      <w:tr>
        <w:trPr>
          <w:tblHeader/>
        </w:trPr>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Stufe</w:t>
            </w:r>
          </w:p>
        </w:tc>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Kriterium aus dem Buch (Wirkung auf das Gästeerlebnis)</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Im Haus festgelegt</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Gering</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Der Gast bemerkt es nicht oder meldet es selten.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Signifikant</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Der Gast bemerkt es und meldet es in etwa einem von drei Fällen.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Kritisch</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Der Gast bemerkt es stets und meldet es systematisch, mit Wirkung auf die Online-Reputation.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160"/>
      </w:pPr>
      <w:r>
        <w:rPr>
          <w:rFonts w:ascii="Aptos" w:cs="Aptos" w:eastAsia="Aptos" w:hAnsi="Aptos"/>
          <w:b/>
          <w:bCs/>
          <w:color w:val="5A5A5A"/>
          <w:sz w:val="18"/>
          <w:szCs w:val="18"/>
        </w:rPr>
        <w:t xml:space="preserve">B3 Optionale dritte Dimension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8"/>
        <w:gridCol w:w="7710"/>
      </w:tblGrid>
      <w:tr>
        <w:trPr>
          <w:tblHeader/>
        </w:trPr>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Stufe</w:t>
            </w:r>
          </w:p>
        </w:tc>
        <w:tc>
          <w:tcPr>
            <w:tcW w:type="dxa" w:w="77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Auswirkung auf den Umsatz (optional, wie im Buchfall 2.3)</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Gering</w:t>
            </w:r>
          </w:p>
        </w:tc>
        <w:tc>
          <w:tcPr>
            <w:tcW w:type="dxa" w:w="77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Mittel</w:t>
            </w:r>
          </w:p>
        </w:tc>
        <w:tc>
          <w:tcPr>
            <w:tcW w:type="dxa" w:w="77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Hoch</w:t>
            </w:r>
          </w:p>
        </w:tc>
        <w:tc>
          <w:tcPr>
            <w:tcW w:type="dxa" w:w="77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160"/>
      </w:pPr>
      <w:r>
        <w:rPr>
          <w:rFonts w:ascii="Aptos" w:cs="Aptos" w:eastAsia="Aptos" w:hAnsi="Aptos"/>
          <w:b/>
          <w:bCs/>
          <w:color w:val="5A5A5A"/>
          <w:sz w:val="18"/>
          <w:szCs w:val="18"/>
        </w:rPr>
        <w:t xml:space="preserve">B4 Prioritätsmatrix (Vorschlag des Buches, im Haus zu bestätigen)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3"/>
        <w:gridCol w:w="2142"/>
        <w:gridCol w:w="2142"/>
        <w:gridCol w:w="2141"/>
      </w:tblGrid>
      <w:tr>
        <w:trPr>
          <w:tblHeader/>
        </w:trPr>
        <w:tc>
          <w:tcPr>
            <w:tcW w:type="dxa" w:w="32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Wahrscheinlichkeit / Auswirkung</w:t>
            </w:r>
          </w:p>
        </w:tc>
        <w:tc>
          <w:tcPr>
            <w:tcW w:type="dxa" w:w="21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Gering</w:t>
            </w:r>
          </w:p>
        </w:tc>
        <w:tc>
          <w:tcPr>
            <w:tcW w:type="dxa" w:w="21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Signifikant</w:t>
            </w:r>
          </w:p>
        </w:tc>
        <w:tc>
          <w:tcPr>
            <w:tcW w:type="dxa" w:w="214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Kritisch</w:t>
            </w:r>
          </w:p>
        </w:tc>
      </w:tr>
      <w:tr>
        <w:trPr>
          <w:cantSplit/>
        </w:trPr>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Hoch</w:t>
            </w:r>
          </w:p>
        </w:tc>
        <w:tc>
          <w:tcPr>
            <w:tcW w:type="dxa" w:w="21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Mittel</w:t>
            </w:r>
          </w:p>
        </w:tc>
        <w:tc>
          <w:tcPr>
            <w:tcW w:type="dxa" w:w="21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Hoch</w:t>
            </w:r>
          </w:p>
        </w:tc>
        <w:tc>
          <w:tcPr>
            <w:tcW w:type="dxa" w:w="21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Hoch</w:t>
            </w:r>
          </w:p>
        </w:tc>
      </w:tr>
      <w:tr>
        <w:trPr>
          <w:cantSplit/>
        </w:trPr>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Mittel</w:t>
            </w:r>
          </w:p>
        </w:tc>
        <w:tc>
          <w:tcPr>
            <w:tcW w:type="dxa" w:w="21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Niedrig</w:t>
            </w:r>
          </w:p>
        </w:tc>
        <w:tc>
          <w:tcPr>
            <w:tcW w:type="dxa" w:w="21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Mittel</w:t>
            </w:r>
          </w:p>
        </w:tc>
        <w:tc>
          <w:tcPr>
            <w:tcW w:type="dxa" w:w="21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Hoch</w:t>
            </w:r>
          </w:p>
        </w:tc>
      </w:tr>
      <w:tr>
        <w:trPr>
          <w:cantSplit/>
        </w:trPr>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Gering</w:t>
            </w:r>
          </w:p>
        </w:tc>
        <w:tc>
          <w:tcPr>
            <w:tcW w:type="dxa" w:w="21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Niedrig</w:t>
            </w:r>
          </w:p>
        </w:tc>
        <w:tc>
          <w:tcPr>
            <w:tcW w:type="dxa" w:w="21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Niedrig</w:t>
            </w:r>
          </w:p>
        </w:tc>
        <w:tc>
          <w:tcPr>
            <w:tcW w:type="dxa" w:w="21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Mittel</w:t>
            </w:r>
          </w:p>
        </w:tc>
      </w:tr>
    </w:tbl>
    <w:p>
      <w:pPr>
        <w:spacing w:after="140"/>
      </w:pPr>
    </w:p>
    <w:p>
      <w:pPr>
        <w:keepNext/>
        <w:spacing w:after="90" w:before="160"/>
      </w:pPr>
      <w:r>
        <w:rPr>
          <w:rFonts w:ascii="Aptos" w:cs="Aptos" w:eastAsia="Aptos" w:hAnsi="Aptos"/>
          <w:b/>
          <w:bCs/>
          <w:color w:val="5A5A5A"/>
          <w:sz w:val="18"/>
          <w:szCs w:val="18"/>
        </w:rPr>
        <w:t xml:space="preserve">B5 Handlungsregeln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8"/>
        <w:gridCol w:w="4819"/>
        <w:gridCol w:w="2891"/>
      </w:tblGrid>
      <w:tr>
        <w:trPr>
          <w:tblHeader/>
        </w:trPr>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Priorität</w:t>
            </w:r>
          </w:p>
        </w:tc>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Regel aus dem Buch</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Hausregel / Abweichung</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Hoch</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Behandlungsmaßnahme mit Frist.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Mittel</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Überwachen, bei Verschärfung behandeln.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Niedrig</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Dokumentieren, nicht aktiv behandeln.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Sonderfall</w:t>
            </w:r>
          </w:p>
        </w:tc>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Geringe Wahrscheinlichkeit bei kritischer Auswirkung verlangt trotzdem eine Maßnahme. «Geringe Wahrscheinlichkeit» heißt «noch nicht passiert».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14"/>
        <w:gridCol w:w="6024"/>
      </w:tblGrid>
      <w:tr>
        <w:trPr>
          <w:tblHeader/>
        </w:trPr>
        <w:tc>
          <w:tcPr>
            <w:tcW w:type="dxa" w:w="361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602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Akzeptanzschwelle für das Restrisiko</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Kriterien vereinbart am</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Vereinbart von (Namen)</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C. Risiken (6.1.2)</w:t>
      </w:r>
    </w:p>
    <w:p>
      <w:pPr>
        <w:spacing w:after="140" w:before="0" w:line="300"/>
        <w:jc w:val="both"/>
      </w:pPr>
      <w:r>
        <w:rPr>
          <w:rFonts w:ascii="Aptos" w:cs="Aptos" w:eastAsia="Aptos" w:hAnsi="Aptos"/>
          <w:color w:val="1A1A1A"/>
          <w:sz w:val="21"/>
          <w:szCs w:val="21"/>
        </w:rPr>
        <w:t xml:space="preserve">Identifiziert wird Prozess für Prozess mit den direkt Verantwortlichen. Leitfrage: Was kann diesen Prozess daran hindern, das erwartete Ergebnis für den Gast zu liefern? Für hoch eingestufte Risiken die Warum-Frage wiederholen, bis die Ursache erreicht ist.</w:t>
      </w:r>
    </w:p>
    <w:p>
      <w:pPr>
        <w:keepNext/>
        <w:spacing w:after="90" w:before="160"/>
      </w:pPr>
      <w:r>
        <w:rPr>
          <w:rFonts w:ascii="Aptos" w:cs="Aptos" w:eastAsia="Aptos" w:hAnsi="Aptos"/>
          <w:b/>
          <w:bCs/>
          <w:color w:val="5A5A5A"/>
          <w:sz w:val="18"/>
          <w:szCs w:val="18"/>
        </w:rPr>
        <w:t xml:space="preserve">C1 Identifikation und Bewertung. Zeile R0: Beispiel (Kompositfall, anzupassen)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65"/>
        <w:gridCol w:w="1683"/>
        <w:gridCol w:w="2295"/>
        <w:gridCol w:w="2295"/>
        <w:gridCol w:w="688"/>
        <w:gridCol w:w="688"/>
        <w:gridCol w:w="1224"/>
      </w:tblGrid>
      <w:tr>
        <w:trPr>
          <w:tblHeader/>
        </w:trPr>
        <w:tc>
          <w:tcPr>
            <w:tcW w:type="dxa" w:w="76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w:t>
            </w:r>
          </w:p>
        </w:tc>
        <w:tc>
          <w:tcPr>
            <w:tcW w:type="dxa" w:w="168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Prozess / Kontext</w:t>
            </w:r>
          </w:p>
        </w:tc>
        <w:tc>
          <w:tcPr>
            <w:tcW w:type="dxa" w:w="229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Risiko</w:t>
            </w:r>
          </w:p>
        </w:tc>
        <w:tc>
          <w:tcPr>
            <w:tcW w:type="dxa" w:w="229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Ursache (Warum-Kette)</w:t>
            </w:r>
          </w:p>
        </w:tc>
        <w:tc>
          <w:tcPr>
            <w:tcW w:type="dxa" w:w="68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W</w:t>
            </w:r>
          </w:p>
        </w:tc>
        <w:tc>
          <w:tcPr>
            <w:tcW w:type="dxa" w:w="68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w:t>
            </w:r>
          </w:p>
        </w:tc>
        <w:tc>
          <w:tcPr>
            <w:tcW w:type="dxa" w:w="122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Priorität inhärent</w:t>
            </w:r>
          </w:p>
        </w:tc>
      </w:tr>
      <w:tr>
        <w:trPr>
          <w:cantSplit/>
        </w:trPr>
        <w:tc>
          <w:tcPr>
            <w:tcW w:type="dxa" w:w="7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R0</w:t>
            </w:r>
          </w:p>
        </w:tc>
        <w:tc>
          <w:tcPr>
            <w:tcW w:type="dxa" w:w="16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Check-in (Gruppenanreise)</w:t>
            </w:r>
          </w:p>
        </w:tc>
        <w:tc>
          <w:tcPr>
            <w:tcW w:type="dxa" w:w="22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PMS-Ausfall über 30 Min. bei Gruppenanreise</w:t>
            </w:r>
          </w:p>
        </w:tc>
        <w:tc>
          <w:tcPr>
            <w:tcW w:type="dxa" w:w="22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Kein geübtes manuelles Verfahren</w:t>
            </w:r>
          </w:p>
        </w:tc>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nach B1</w:t>
            </w:r>
          </w:p>
        </w:tc>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nach B2</w:t>
            </w:r>
          </w:p>
        </w:tc>
        <w:tc>
          <w:tcPr>
            <w:tcW w:type="dxa" w:w="12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Hoch</w:t>
            </w:r>
          </w:p>
        </w:tc>
      </w:tr>
      <w:tr>
        <w:trPr>
          <w:cantSplit/>
        </w:trPr>
        <w:tc>
          <w:tcPr>
            <w:tcW w:type="dxa" w:w="7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R1</w:t>
            </w:r>
          </w:p>
        </w:tc>
        <w:tc>
          <w:tcPr>
            <w:tcW w:type="dxa" w:w="16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R2</w:t>
            </w:r>
          </w:p>
        </w:tc>
        <w:tc>
          <w:tcPr>
            <w:tcW w:type="dxa" w:w="16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R3</w:t>
            </w:r>
          </w:p>
        </w:tc>
        <w:tc>
          <w:tcPr>
            <w:tcW w:type="dxa" w:w="16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R4</w:t>
            </w:r>
          </w:p>
        </w:tc>
        <w:tc>
          <w:tcPr>
            <w:tcW w:type="dxa" w:w="16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R5</w:t>
            </w:r>
          </w:p>
        </w:tc>
        <w:tc>
          <w:tcPr>
            <w:tcW w:type="dxa" w:w="16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R6</w:t>
            </w:r>
          </w:p>
        </w:tc>
        <w:tc>
          <w:tcPr>
            <w:tcW w:type="dxa" w:w="16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R7</w:t>
            </w:r>
          </w:p>
        </w:tc>
        <w:tc>
          <w:tcPr>
            <w:tcW w:type="dxa" w:w="16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R8</w:t>
            </w:r>
          </w:p>
        </w:tc>
        <w:tc>
          <w:tcPr>
            <w:tcW w:type="dxa" w:w="16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29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160"/>
      </w:pPr>
      <w:r>
        <w:rPr>
          <w:rFonts w:ascii="Aptos" w:cs="Aptos" w:eastAsia="Aptos" w:hAnsi="Aptos"/>
          <w:b/>
          <w:bCs/>
          <w:color w:val="5A5A5A"/>
          <w:sz w:val="18"/>
          <w:szCs w:val="18"/>
        </w:rPr>
        <w:t xml:space="preserve">C2 Behandlung. Zeile R0: Beispiel (Kompositfall, anzupassen)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94"/>
        <w:gridCol w:w="2467"/>
        <w:gridCol w:w="1696"/>
        <w:gridCol w:w="694"/>
        <w:gridCol w:w="1619"/>
        <w:gridCol w:w="1234"/>
        <w:gridCol w:w="1234"/>
      </w:tblGrid>
      <w:tr>
        <w:trPr>
          <w:tblHeader/>
        </w:trPr>
        <w:tc>
          <w:tcPr>
            <w:tcW w:type="dxa" w:w="69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w:t>
            </w:r>
          </w:p>
        </w:tc>
        <w:tc>
          <w:tcPr>
            <w:tcW w:type="dxa" w:w="24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Maßnahme (konkret, mit Prozessbezug)</w:t>
            </w:r>
          </w:p>
        </w:tc>
        <w:tc>
          <w:tcPr>
            <w:tcW w:type="dxa" w:w="169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Verantwortlich (Name)</w:t>
            </w:r>
          </w:p>
        </w:tc>
        <w:tc>
          <w:tcPr>
            <w:tcW w:type="dxa" w:w="69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Frist</w:t>
            </w:r>
          </w:p>
        </w:tc>
        <w:tc>
          <w:tcPr>
            <w:tcW w:type="dxa" w:w="16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Indikator der Wirksamkeit</w:t>
            </w:r>
          </w:p>
        </w:tc>
        <w:tc>
          <w:tcPr>
            <w:tcW w:type="dxa" w:w="123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Restrisiko</w:t>
            </w:r>
          </w:p>
        </w:tc>
        <w:tc>
          <w:tcPr>
            <w:tcW w:type="dxa" w:w="123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Status / geprüft am</w:t>
            </w:r>
          </w:p>
        </w:tc>
      </w:tr>
      <w:tr>
        <w:trPr>
          <w:cantSplit/>
        </w:trPr>
        <w:tc>
          <w:tcPr>
            <w:tcW w:type="dxa" w:w="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R0</w:t>
            </w:r>
          </w:p>
        </w:tc>
        <w:tc>
          <w:tcPr>
            <w:tcW w:type="dxa" w:w="24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Manuelles Check-in-Verfahren für Gruppen bis 30 Personen, Papier-Checkliste am Empfang, Schulung, halbjährliche Simulation</w:t>
            </w:r>
          </w:p>
        </w:tc>
        <w:tc>
          <w:tcPr>
            <w:tcW w:type="dxa" w:w="169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Empfangschef</w:t>
            </w:r>
          </w:p>
        </w:tc>
        <w:tc>
          <w:tcPr>
            <w:tcW w:type="dxa" w:w="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60 Tage</w:t>
            </w:r>
          </w:p>
        </w:tc>
        <w:tc>
          <w:tcPr>
            <w:tcW w:type="dxa" w:w="16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Anteil des Personals, das die Simulation besteht</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Niedrig bis Mittel</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R1</w:t>
            </w:r>
          </w:p>
        </w:tc>
        <w:tc>
          <w:tcPr>
            <w:tcW w:type="dxa" w:w="24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9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R2</w:t>
            </w:r>
          </w:p>
        </w:tc>
        <w:tc>
          <w:tcPr>
            <w:tcW w:type="dxa" w:w="24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9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R3</w:t>
            </w:r>
          </w:p>
        </w:tc>
        <w:tc>
          <w:tcPr>
            <w:tcW w:type="dxa" w:w="24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9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R4</w:t>
            </w:r>
          </w:p>
        </w:tc>
        <w:tc>
          <w:tcPr>
            <w:tcW w:type="dxa" w:w="24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9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R5</w:t>
            </w:r>
          </w:p>
        </w:tc>
        <w:tc>
          <w:tcPr>
            <w:tcW w:type="dxa" w:w="24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9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R6</w:t>
            </w:r>
          </w:p>
        </w:tc>
        <w:tc>
          <w:tcPr>
            <w:tcW w:type="dxa" w:w="24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9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R7</w:t>
            </w:r>
          </w:p>
        </w:tc>
        <w:tc>
          <w:tcPr>
            <w:tcW w:type="dxa" w:w="24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9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R8</w:t>
            </w:r>
          </w:p>
        </w:tc>
        <w:tc>
          <w:tcPr>
            <w:tcW w:type="dxa" w:w="24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9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9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Prüfung jeder Maßnahme </w:t>
            </w:r>
            <w:r>
              <w:rPr>
                <w:rFonts w:ascii="Aptos" w:cs="Aptos" w:eastAsia="Aptos" w:hAnsi="Aptos"/>
                <w:color w:val="1A1A1A"/>
                <w:sz w:val="21"/>
                <w:szCs w:val="21"/>
              </w:rPr>
              <w:t xml:space="preserve">Eine Maßnahme ist vollständig, wenn sie fünf Fragen beantwortet: Was wird getan? Wer ist verantwortlich? Bis wann? Wie wird die Umsetzung geprüft? Wie wird gemessen, ob das Risiko sinkt? «Lage beobachten» ist keine Maßnahme, sondern eine Absicht.</w:t>
            </w:r>
          </w:p>
        </w:tc>
      </w:tr>
    </w:tbl>
    <w:p>
      <w:pPr>
        <w:spacing w:after="120"/>
      </w:pPr>
    </w:p>
    <w:p>
      <w:pPr>
        <w:keepNext/>
        <w:spacing w:after="120" w:before="280"/>
      </w:pPr>
      <w:r>
        <w:rPr>
          <w:rFonts w:ascii="Aptos" w:cs="Aptos" w:eastAsia="Aptos" w:hAnsi="Aptos"/>
          <w:b/>
          <w:bCs/>
          <w:color w:val="8C5A2B"/>
          <w:sz w:val="26"/>
          <w:szCs w:val="26"/>
        </w:rPr>
        <w:t xml:space="preserve">D. Chancen (6.1.3)</w:t>
      </w:r>
    </w:p>
    <w:p>
      <w:pPr>
        <w:spacing w:after="140" w:before="0" w:line="300"/>
        <w:jc w:val="both"/>
      </w:pPr>
      <w:r>
        <w:rPr>
          <w:rFonts w:ascii="Aptos" w:cs="Aptos" w:eastAsia="Aptos" w:hAnsi="Aptos"/>
          <w:color w:val="1A1A1A"/>
          <w:sz w:val="21"/>
          <w:szCs w:val="21"/>
        </w:rPr>
        <w:t xml:space="preserve">Chancen werden mit derselben Disziplin geführt: neue Segmente, technische Verbesserungen, Effizienzgewinne, Differenzierung im Service. Leitfrage: Was könnte diesen Prozess zu einem Vorteil für Gast und Haus machen?</w:t>
      </w:r>
    </w:p>
    <w:p>
      <w:pPr>
        <w:keepNext/>
        <w:spacing w:after="90" w:before="160"/>
      </w:pPr>
      <w:r>
        <w:rPr>
          <w:rFonts w:ascii="Aptos" w:cs="Aptos" w:eastAsia="Aptos" w:hAnsi="Aptos"/>
          <w:b/>
          <w:bCs/>
          <w:color w:val="5A5A5A"/>
          <w:sz w:val="18"/>
          <w:szCs w:val="18"/>
        </w:rPr>
        <w:t xml:space="preserve">Zeile C0: Beispiel (Kompositfall, anzupassen)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2"/>
        <w:gridCol w:w="1355"/>
        <w:gridCol w:w="1657"/>
        <w:gridCol w:w="979"/>
        <w:gridCol w:w="1732"/>
        <w:gridCol w:w="1431"/>
        <w:gridCol w:w="678"/>
        <w:gridCol w:w="1204"/>
      </w:tblGrid>
      <w:tr>
        <w:trPr>
          <w:tblHeader/>
        </w:trPr>
        <w:tc>
          <w:tcPr>
            <w:tcW w:type="dxa" w:w="60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w:t>
            </w:r>
          </w:p>
        </w:tc>
        <w:tc>
          <w:tcPr>
            <w:tcW w:type="dxa" w:w="13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Quelle (Prozess, Kontext, Feedback)</w:t>
            </w:r>
          </w:p>
        </w:tc>
        <w:tc>
          <w:tcPr>
            <w:tcW w:type="dxa" w:w="16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Chance</w:t>
            </w:r>
          </w:p>
        </w:tc>
        <w:tc>
          <w:tcPr>
            <w:tcW w:type="dxa" w:w="97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Priorität</w:t>
            </w:r>
          </w:p>
        </w:tc>
        <w:tc>
          <w:tcPr>
            <w:tcW w:type="dxa" w:w="173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Maßnahme</w:t>
            </w:r>
          </w:p>
        </w:tc>
        <w:tc>
          <w:tcPr>
            <w:tcW w:type="dxa" w:w="143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Verantwortlich</w:t>
            </w:r>
          </w:p>
        </w:tc>
        <w:tc>
          <w:tcPr>
            <w:tcW w:type="dxa" w:w="67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Frist</w:t>
            </w:r>
          </w:p>
        </w:tc>
        <w:tc>
          <w:tcPr>
            <w:tcW w:type="dxa" w:w="120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Indikator</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C0</w:t>
            </w:r>
          </w:p>
        </w:tc>
        <w:tc>
          <w:tcPr>
            <w:tcW w:type="dxa" w:w="13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Bankett / Vertrieb</w:t>
            </w:r>
          </w:p>
        </w:tc>
        <w:tc>
          <w:tcPr>
            <w:tcW w:type="dxa" w:w="16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MICE-Upselling über strukturierte Angebotspakete</w:t>
            </w:r>
          </w:p>
        </w:tc>
        <w:tc>
          <w:tcPr>
            <w:tcW w:type="dxa" w:w="9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Hoch</w:t>
            </w:r>
          </w:p>
        </w:tc>
        <w:tc>
          <w:tcPr>
            <w:tcW w:type="dxa" w:w="17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Drei Paketstufen definieren, Vertrieb schulen</w:t>
            </w:r>
          </w:p>
        </w:tc>
        <w:tc>
          <w:tcPr>
            <w:tcW w:type="dxa" w:w="14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Sales</w:t>
            </w:r>
          </w:p>
        </w:tc>
        <w:tc>
          <w:tcPr>
            <w:tcW w:type="dxa" w:w="6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Zusätzliche Veranstaltungsbuchungen</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C1</w:t>
            </w:r>
          </w:p>
        </w:tc>
        <w:tc>
          <w:tcPr>
            <w:tcW w:type="dxa" w:w="13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C2</w:t>
            </w:r>
          </w:p>
        </w:tc>
        <w:tc>
          <w:tcPr>
            <w:tcW w:type="dxa" w:w="13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C3</w:t>
            </w:r>
          </w:p>
        </w:tc>
        <w:tc>
          <w:tcPr>
            <w:tcW w:type="dxa" w:w="13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C4</w:t>
            </w:r>
          </w:p>
        </w:tc>
        <w:tc>
          <w:tcPr>
            <w:tcW w:type="dxa" w:w="13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C5</w:t>
            </w:r>
          </w:p>
        </w:tc>
        <w:tc>
          <w:tcPr>
            <w:tcW w:type="dxa" w:w="13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C6</w:t>
            </w:r>
          </w:p>
        </w:tc>
        <w:tc>
          <w:tcPr>
            <w:tcW w:type="dxa" w:w="13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C7</w:t>
            </w:r>
          </w:p>
        </w:tc>
        <w:tc>
          <w:tcPr>
            <w:tcW w:type="dxa" w:w="13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7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6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0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spacing w:after="140" w:before="0" w:line="300"/>
        <w:jc w:val="both"/>
      </w:pPr>
      <w:r>
        <w:rPr>
          <w:rFonts w:ascii="Aptos" w:cs="Aptos" w:eastAsia="Aptos" w:hAnsi="Aptos"/>
          <w:color w:val="1A1A1A"/>
          <w:sz w:val="21"/>
          <w:szCs w:val="21"/>
        </w:rPr>
        <w:t xml:space="preserve">Die Priorität einer Chance bewertet das Haus nach eigenen, vorab festgelegten Kriterien, etwa der erwarteten Wirkung auf das Gästeerlebnis. Kriterien hier eintragen: ____________________________________________</w:t>
      </w:r>
    </w:p>
    <w:p>
      <w:pPr>
        <w:keepNext/>
        <w:spacing w:after="120" w:before="280"/>
      </w:pPr>
      <w:r>
        <w:rPr>
          <w:rFonts w:ascii="Aptos" w:cs="Aptos" w:eastAsia="Aptos" w:hAnsi="Aptos"/>
          <w:b/>
          <w:bCs/>
          <w:color w:val="8C5A2B"/>
          <w:sz w:val="26"/>
          <w:szCs w:val="26"/>
        </w:rPr>
        <w:t xml:space="preserve">E. Aktualisierungsauslöser außerhalb des Jahreszyklus</w:t>
      </w:r>
    </w:p>
    <w:p>
      <w:pPr>
        <w:spacing w:after="140" w:before="0" w:line="300"/>
        <w:jc w:val="both"/>
      </w:pPr>
      <w:r>
        <w:rPr>
          <w:rFonts w:ascii="Aptos" w:cs="Aptos" w:eastAsia="Aptos" w:hAnsi="Aptos"/>
          <w:color w:val="1A1A1A"/>
          <w:sz w:val="21"/>
          <w:szCs w:val="21"/>
        </w:rPr>
        <w:t xml:space="preserve">Das Register darf zwischen zwei Jahresaktualisierungen kein geschlossenes Dokument sein. Tritt ein erfasstes Risiko ein, werden Wahrscheinlichkeit, Maßnahme und Restrisiko sofort neu bewertet.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780"/>
        <w:gridCol w:w="1890"/>
        <w:gridCol w:w="1890"/>
        <w:gridCol w:w="2078"/>
      </w:tblGrid>
      <w:tr>
        <w:trPr>
          <w:tblHeader/>
        </w:trPr>
        <w:tc>
          <w:tcPr>
            <w:tcW w:type="dxa" w:w="378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Auslöser</w:t>
            </w:r>
          </w:p>
        </w:tc>
        <w:tc>
          <w:tcPr>
            <w:tcW w:type="dxa" w:w="189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Schwelle im Haus</w:t>
            </w:r>
          </w:p>
        </w:tc>
        <w:tc>
          <w:tcPr>
            <w:tcW w:type="dxa" w:w="189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Wer prüft</w:t>
            </w:r>
          </w:p>
        </w:tc>
        <w:tc>
          <w:tcPr>
            <w:tcW w:type="dxa" w:w="207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Frist bis zur Überprüfung</w:t>
            </w:r>
          </w:p>
        </w:tc>
      </w:tr>
      <w:tr>
        <w:trPr>
          <w:cantSplit/>
        </w:trPr>
        <w:tc>
          <w:tcPr>
            <w:tcW w:type="dxa" w:w="3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Beschwerde über einer definierten Schwelle</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Betriebsunterbrechung über einer definierten Dauer</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Signifikanter Wechsel bei einem kritischen Lieferanten oder einer Technologie</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Wirksamkeitsindikator überschreitet die Warnschwelle</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Buchfall 2.3: binnen sieben Arbeitstagen</w:t>
            </w:r>
          </w:p>
        </w:tc>
      </w:tr>
      <w:tr>
        <w:trPr>
          <w:cantSplit/>
        </w:trPr>
        <w:tc>
          <w:tcPr>
            <w:tcW w:type="dxa" w:w="3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Ein erfasstes Risiko tritt ein</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sofort</w:t>
            </w:r>
          </w:p>
        </w:tc>
      </w:tr>
      <w:tr>
        <w:trPr>
          <w:cantSplit/>
        </w:trPr>
        <w:tc>
          <w:tcPr>
            <w:tcW w:type="dxa" w:w="3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Neue Information aus dem Kontext (z. B. angekündigte Arbeiten eines Versorgers)</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Geplante Änderung nach 6.3 (z. B. PMS-Wechsel, neue Dienstleistung)</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7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F. Periodische Wirksamkeitsprüfung</w:t>
      </w:r>
    </w:p>
    <w:p>
      <w:pPr>
        <w:spacing w:after="140" w:before="0" w:line="300"/>
        <w:jc w:val="both"/>
      </w:pPr>
      <w:r>
        <w:rPr>
          <w:rFonts w:ascii="Aptos" w:cs="Aptos" w:eastAsia="Aptos" w:hAnsi="Aptos"/>
          <w:color w:val="1A1A1A"/>
          <w:sz w:val="21"/>
          <w:szCs w:val="21"/>
        </w:rPr>
        <w:t xml:space="preserve">Geprüft wird, ob das Restrisiko unter dem inhärenten Risiko liegt und die Akzeptanzschwelle hält. Das Buch empfiehlt mindestens vierteljährlich. Einen Rhythmus schreibt die Norm nicht vor.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91"/>
        <w:gridCol w:w="1455"/>
        <w:gridCol w:w="1818"/>
        <w:gridCol w:w="1818"/>
        <w:gridCol w:w="2182"/>
        <w:gridCol w:w="1274"/>
      </w:tblGrid>
      <w:tr>
        <w:trPr>
          <w:tblHeader/>
        </w:trPr>
        <w:tc>
          <w:tcPr>
            <w:tcW w:type="dxa" w:w="10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Datum</w:t>
            </w:r>
          </w:p>
        </w:tc>
        <w:tc>
          <w:tcPr>
            <w:tcW w:type="dxa" w:w="14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Geprüfte Einträge</w:t>
            </w:r>
          </w:p>
        </w:tc>
        <w:tc>
          <w:tcPr>
            <w:tcW w:type="dxa" w:w="181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Restrisiko unter inhärentem? (Nr.)</w:t>
            </w:r>
          </w:p>
        </w:tc>
        <w:tc>
          <w:tcPr>
            <w:tcW w:type="dxa" w:w="181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Akzeptanzschwelle gehalten? (Nr.)</w:t>
            </w:r>
          </w:p>
        </w:tc>
        <w:tc>
          <w:tcPr>
            <w:tcW w:type="dxa" w:w="21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Entscheidung</w:t>
            </w:r>
          </w:p>
        </w:tc>
        <w:tc>
          <w:tcPr>
            <w:tcW w:type="dxa" w:w="127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Unterschrift</w:t>
            </w:r>
          </w:p>
        </w:tc>
      </w:tr>
      <w:tr>
        <w:trPr>
          <w:cantSplit/>
        </w:trPr>
        <w:tc>
          <w:tcPr>
            <w:tcW w:type="dxa" w:w="10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4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4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4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4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4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4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G. Entscheidungstest und Reifeindikatoren</w:t>
      </w:r>
    </w:p>
    <w:p>
      <w:pPr>
        <w:spacing w:after="140" w:before="0" w:line="300"/>
        <w:jc w:val="both"/>
      </w:pPr>
      <w:r>
        <w:rPr>
          <w:rFonts w:ascii="Aptos" w:cs="Aptos" w:eastAsia="Aptos" w:hAnsi="Aptos"/>
          <w:color w:val="1A1A1A"/>
          <w:sz w:val="21"/>
          <w:szCs w:val="21"/>
        </w:rPr>
        <w:t xml:space="preserve">Fünf Einträge zufällig ziehen und für jeden fragen, welche konkrete Entscheidung er im letzten Jahr beeinflusst hat. Bleiben die Antworten leer, ist das Register ein Konformitätsartefakt.</w:t>
      </w:r>
    </w:p>
    <w:p>
      <w:pPr>
        <w:keepNext/>
        <w:spacing w:after="90" w:before="160"/>
      </w:pPr>
      <w:r>
        <w:rPr>
          <w:rFonts w:ascii="Aptos" w:cs="Aptos" w:eastAsia="Aptos" w:hAnsi="Aptos"/>
          <w:b/>
          <w:bCs/>
          <w:color w:val="5A5A5A"/>
          <w:sz w:val="18"/>
          <w:szCs w:val="18"/>
        </w:rPr>
        <w:t xml:space="preserve">G1 Entscheidungstest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9"/>
        <w:gridCol w:w="5354"/>
        <w:gridCol w:w="2785"/>
      </w:tblGrid>
      <w:tr>
        <w:trPr>
          <w:tblHeader/>
        </w:trPr>
        <w:tc>
          <w:tcPr>
            <w:tcW w:type="dxa" w:w="149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 Nr.</w:t>
            </w:r>
          </w:p>
        </w:tc>
        <w:tc>
          <w:tcPr>
            <w:tcW w:type="dxa" w:w="535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Beeinflusste Entscheidung (was, wann, wer)</w:t>
            </w:r>
          </w:p>
        </w:tc>
        <w:tc>
          <w:tcPr>
            <w:tcW w:type="dxa" w:w="278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Nachweis</w:t>
            </w:r>
          </w:p>
        </w:tc>
      </w:tr>
      <w:tr>
        <w:trPr>
          <w:cantSplit/>
        </w:trPr>
        <w:tc>
          <w:tcPr>
            <w:tcW w:type="dxa" w:w="14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7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4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7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4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7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4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7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4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7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160"/>
      </w:pPr>
      <w:r>
        <w:rPr>
          <w:rFonts w:ascii="Aptos" w:cs="Aptos" w:eastAsia="Aptos" w:hAnsi="Aptos"/>
          <w:b/>
          <w:bCs/>
          <w:color w:val="5A5A5A"/>
          <w:sz w:val="18"/>
          <w:szCs w:val="18"/>
        </w:rPr>
        <w:t xml:space="preserve">G2 Reifeindikatoren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67"/>
        <w:gridCol w:w="4131"/>
        <w:gridCol w:w="1180"/>
        <w:gridCol w:w="1180"/>
        <w:gridCol w:w="1180"/>
      </w:tblGrid>
      <w:tr>
        <w:trPr>
          <w:tblHeader/>
        </w:trPr>
        <w:tc>
          <w:tcPr>
            <w:tcW w:type="dxa" w:w="19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Indikator</w:t>
            </w:r>
          </w:p>
        </w:tc>
        <w:tc>
          <w:tcPr>
            <w:tcW w:type="dxa" w:w="413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Berechnung</w:t>
            </w:r>
          </w:p>
        </w:tc>
        <w:tc>
          <w:tcPr>
            <w:tcW w:type="dxa" w:w="118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Periode 1</w:t>
            </w:r>
          </w:p>
        </w:tc>
        <w:tc>
          <w:tcPr>
            <w:tcW w:type="dxa" w:w="118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Periode 2</w:t>
            </w:r>
          </w:p>
        </w:tc>
        <w:tc>
          <w:tcPr>
            <w:tcW w:type="dxa" w:w="118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Periode 3</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Entscheidungswirkung</w:t>
            </w:r>
          </w:p>
        </w:tc>
        <w:tc>
          <w:tcPr>
            <w:tcW w:type="dxa" w:w="41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Einträge mit nachweislich beeinflusster Entscheidung / alle Einträge</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Beherrschung</w:t>
            </w:r>
          </w:p>
        </w:tc>
        <w:tc>
          <w:tcPr>
            <w:tcW w:type="dxa" w:w="41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Hoch priorisierte Risiken mit spezifischer Maßnahme, namentlichem Verantwortlichen und aktivem Indikator / alle hoch priorisierten Risiken</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9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Chancen-Abdeckung</w:t>
            </w:r>
          </w:p>
        </w:tc>
        <w:tc>
          <w:tcPr>
            <w:tcW w:type="dxa" w:w="41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Chancen mit Maßnahme, Verantwortlichem und Frist / geführte Chancen (Definition im Haus prüfen)</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 Vorlage ersetzt nicht den Normtext der ISO 9001:2026 und keine Rechts- oder Zertifizierungsberatung. Skalen, Schwellen und Beispiele stammen aus Kompositfällen des Buches und sind an das eigene Haus anzupassen. Die Entscheidungen und die Verantwortung bleiben bei der Leitung des Hauses. Stand: 13. Oktober 2026.</w:t>
      </w:r>
    </w:p>
    <w:p>
      <w:pPr>
        <w:spacing w:after="140" w:before="0" w:line="300"/>
        <w:jc w:val="both"/>
      </w:pPr>
      <w:r>
        <w:rPr>
          <w:rFonts w:ascii="Aptos" w:cs="Aptos" w:eastAsia="Aptos" w:hAnsi="Aptos"/>
          <w:i/>
          <w:iCs/>
          <w:color w:val="1A1A1A"/>
          <w:sz w:val="21"/>
          <w:szCs w:val="21"/>
        </w:rPr>
        <w:t xml:space="preserve">Bezug im Buch: Band 2a, Abschnitte 1.4 und 2.3</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2a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2026-10-13T00:12:40.425Z</dcterms:created>
  <dcterms:modified xsi:type="dcterms:W3CDTF">2026-10-13T00:12:40.425Z</dcterms:modified>
</cp:coreProperties>
</file>

<file path=docProps/custom.xml><?xml version="1.0" encoding="utf-8"?>
<Properties xmlns="http://schemas.openxmlformats.org/officeDocument/2006/custom-properties" xmlns:vt="http://schemas.openxmlformats.org/officeDocument/2006/docPropsVTypes"/>
</file>