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Aptos" w:cs="Aptos" w:eastAsia="Aptos" w:hAnsi="Aptos"/>
          <w:color w:val="5A5A5A"/>
          <w:sz w:val="18"/>
          <w:szCs w:val="18"/>
        </w:rPr>
        <w:t xml:space="preserve">Das Steuer und die Lupe · Band 2a · ISO 9001:2026</w:t>
      </w:r>
    </w:p>
    <w:p>
      <w:pPr>
        <w:spacing w:after="200"/>
      </w:pPr>
      <w:r>
        <w:rPr>
          <w:rFonts w:ascii="Aptos" w:cs="Aptos" w:eastAsia="Aptos" w:hAnsi="Aptos"/>
          <w:b/>
          <w:bCs/>
          <w:color w:val="8C5A2B"/>
          <w:sz w:val="18"/>
          <w:szCs w:val="18"/>
        </w:rPr>
        <w:t xml:space="preserve">VORLAGE ZU ABSCHNITT 2.4</w:t>
      </w:r>
    </w:p>
    <w:p>
      <w:pPr>
        <w:pStyle w:val="Heading1"/>
        <w:spacing w:after="120" w:line="360"/>
      </w:pPr>
      <w:r>
        <w:rPr>
          <w:rFonts w:ascii="Aptos" w:cs="Aptos" w:eastAsia="Aptos" w:hAnsi="Aptos"/>
          <w:b/>
          <w:bCs/>
          <w:color w:val="002060"/>
          <w:sz w:val="36"/>
          <w:szCs w:val="36"/>
        </w:rPr>
        <w:t xml:space="preserve">Zieldatenblatt für Qualitätsziele</w:t>
      </w:r>
    </w:p>
    <w:p>
      <w:pPr>
        <w:spacing w:after="200"/>
      </w:pPr>
      <w:r>
        <w:rPr>
          <w:rFonts w:ascii="Aptos" w:cs="Aptos" w:eastAsia="Aptos" w:hAnsi="Aptos"/>
          <w:i/>
          <w:iCs/>
          <w:color w:val="5A5A5A"/>
          <w:sz w:val="22"/>
          <w:szCs w:val="22"/>
        </w:rPr>
        <w:t xml:space="preserve">Ziel mit kausalem Pfad, Maßnahmen, Ressourcen, Messung, Frühwarnsignal und Verknüpfung zu Kontext und Risiko</w:t>
      </w:r>
    </w:p>
    <w:p>
      <w:pPr>
        <w:pBdr>
          <w:bottom w:val="single" w:color="C9BBA6" w:sz="6" w:space="4"/>
        </w:pBdr>
        <w:spacing w:after="240"/>
      </w:pPr>
      <w:r>
        <w:rPr>
          <w:rFonts w:ascii="Aptos" w:cs="Aptos" w:eastAsia="Aptos" w:hAnsi="Aptos"/>
          <w:color w:val="5A5A5A"/>
          <w:sz w:val="17"/>
          <w:szCs w:val="17"/>
        </w:rPr>
        <w:t xml:space="preserve">Stand: 13. Oktober 2026 · buecher.effedore.com</w:t>
      </w:r>
    </w:p>
    <w:p>
      <w:pPr>
        <w:keepNext/>
        <w:spacing w:after="90" w:before="160"/>
      </w:pPr>
      <w:r>
        <w:rPr>
          <w:rFonts w:ascii="Aptos" w:cs="Aptos" w:eastAsia="Aptos" w:hAnsi="Aptos"/>
          <w:b/>
          <w:bCs/>
          <w:color w:val="5A5A5A"/>
          <w:sz w:val="18"/>
          <w:szCs w:val="18"/>
        </w:rPr>
        <w:t xml:space="preserve">Dokumentkopf</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614"/>
        <w:gridCol w:w="6024"/>
      </w:tblGrid>
      <w:tr>
        <w:trPr>
          <w:tblHeader/>
        </w:trPr>
        <w:tc>
          <w:tcPr>
            <w:tcW w:type="dxa" w:w="36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602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Haus</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Planungsjahr</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Version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Datum</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Erstellt (Name,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Geprüft (Name, Funktion)</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6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Freigegeben (Leitung)</w:t>
            </w:r>
          </w:p>
        </w:tc>
        <w:tc>
          <w:tcPr>
            <w:tcW w:type="dxa" w:w="602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A. Zum Gebrauch</w:t>
      </w:r>
    </w:p>
    <w:p>
      <w:pPr>
        <w:spacing w:after="140" w:before="0" w:line="300"/>
        <w:jc w:val="both"/>
      </w:pPr>
      <w:r>
        <w:rPr>
          <w:rFonts w:ascii="Aptos" w:cs="Aptos" w:eastAsia="Aptos" w:hAnsi="Aptos"/>
          <w:color w:val="1A1A1A"/>
          <w:sz w:val="21"/>
          <w:szCs w:val="21"/>
        </w:rPr>
        <w:t xml:space="preserve">Die Klausel 6.2 zählt nicht zu den bestätigten Änderungen der ISO 9001:2026. Ihr Inhalt stammt im Kern aus 2015: messbare Ziele mit Planung von Maßnahmen, Ressourcen, Verantwortung, Termin und Bewertung der Ergebnisse.</w:t>
      </w:r>
    </w:p>
    <w:p>
      <w:pPr>
        <w:spacing w:after="140" w:before="0" w:line="300"/>
        <w:jc w:val="both"/>
      </w:pPr>
      <w:r>
        <w:rPr>
          <w:rFonts w:ascii="Aptos" w:cs="Aptos" w:eastAsia="Aptos" w:hAnsi="Aptos"/>
          <w:color w:val="1A1A1A"/>
          <w:sz w:val="21"/>
          <w:szCs w:val="21"/>
        </w:rPr>
        <w:t xml:space="preserve">Kausaler Pfad und Frühwarnsignal sind gute Praxis aus dem Buch, keine zusätzliche Normpflicht. Ein Ziel muss nicht einem einzelnen Eintrag im Risikoregister zugeordnet sein. Wo es einen Bezug gibt, wird er eingetragen.</w:t>
      </w:r>
    </w:p>
    <w:p>
      <w:pPr>
        <w:keepNext/>
        <w:spacing w:after="120" w:before="280"/>
      </w:pPr>
      <w:r>
        <w:rPr>
          <w:rFonts w:ascii="Aptos" w:cs="Aptos" w:eastAsia="Aptos" w:hAnsi="Aptos"/>
          <w:b/>
          <w:bCs/>
          <w:color w:val="8C5A2B"/>
          <w:sz w:val="26"/>
          <w:szCs w:val="26"/>
        </w:rPr>
        <w:t xml:space="preserve">B. Zielplan im Überblick</w:t>
      </w:r>
    </w:p>
    <w:p>
      <w:pPr>
        <w:spacing w:after="140" w:before="0" w:line="300"/>
        <w:jc w:val="both"/>
      </w:pPr>
      <w:r>
        <w:rPr>
          <w:rFonts w:ascii="Aptos" w:cs="Aptos" w:eastAsia="Aptos" w:hAnsi="Aptos"/>
          <w:color w:val="1A1A1A"/>
          <w:sz w:val="21"/>
          <w:szCs w:val="21"/>
        </w:rPr>
        <w:t xml:space="preserve">Wenige prioritäre Ziele, meist drei bis fünf, dazu einige Erhaltungsziele. Für jedes prioritäre Ziel wird ein Datenblatt nach Teil C geführt.</w:t>
      </w:r>
    </w:p>
    <w:p>
      <w:pPr>
        <w:keepNext/>
        <w:spacing w:after="90" w:before="160"/>
      </w:pPr>
      <w:r>
        <w:rPr>
          <w:rFonts w:ascii="Aptos" w:cs="Aptos" w:eastAsia="Aptos" w:hAnsi="Aptos"/>
          <w:b/>
          <w:bCs/>
          <w:color w:val="5A5A5A"/>
          <w:sz w:val="18"/>
          <w:szCs w:val="18"/>
        </w:rPr>
        <w:t xml:space="preserve">Zeile Z0: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56"/>
        <w:gridCol w:w="3213"/>
        <w:gridCol w:w="1701"/>
        <w:gridCol w:w="1701"/>
        <w:gridCol w:w="1134"/>
        <w:gridCol w:w="1133"/>
      </w:tblGrid>
      <w:tr>
        <w:trPr>
          <w:tblHeader/>
        </w:trPr>
        <w:tc>
          <w:tcPr>
            <w:tcW w:type="dxa" w:w="75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Nr.</w:t>
            </w:r>
          </w:p>
        </w:tc>
        <w:tc>
          <w:tcPr>
            <w:tcW w:type="dxa" w:w="321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Ziel (Kurzform)</w:t>
            </w:r>
          </w:p>
        </w:tc>
        <w:tc>
          <w:tcPr>
            <w:tcW w:type="dxa" w:w="17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Art (prioritär / Erhaltung)</w:t>
            </w:r>
          </w:p>
        </w:tc>
        <w:tc>
          <w:tcPr>
            <w:tcW w:type="dxa" w:w="170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Verantwortlich</w:t>
            </w:r>
          </w:p>
        </w:tc>
        <w:tc>
          <w:tcPr>
            <w:tcW w:type="dxa" w:w="113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Frist</w:t>
            </w:r>
          </w:p>
        </w:tc>
        <w:tc>
          <w:tcPr>
            <w:tcW w:type="dxa" w:w="1133"/>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Stand</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Z0</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Check-in-Wartezeit Hochsaison 11 auf 5 Min.</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prioritär</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Empfangsleitung</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30. Juni</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75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321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70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133"/>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C. Datenblatt je Ziel</w:t>
      </w:r>
    </w:p>
    <w:p>
      <w:pPr>
        <w:keepNext/>
        <w:spacing w:after="90" w:before="160"/>
      </w:pPr>
      <w:r>
        <w:rPr>
          <w:rFonts w:ascii="Aptos" w:cs="Aptos" w:eastAsia="Aptos" w:hAnsi="Aptos"/>
          <w:b/>
          <w:bCs/>
          <w:color w:val="5A5A5A"/>
          <w:sz w:val="18"/>
          <w:szCs w:val="18"/>
        </w:rPr>
        <w:t xml:space="preserve">C1 Ziel und Herkunft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Ziel-Nr.</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Zielformulierung: Ausgangswert, Zielwert, Frist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Bezug zur Qualitätspolitik</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Herkunft aus der Kontextanalyse (4.1 / 4.2)</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Bezug zum Risiko- oder Chancenregister (Nr., falls zutreffend)</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Relevanz: Konformität der Leistung, Gästezufriedenheit, anwendbare Anforderungen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Ausgehandelt mit (Namen, Datum)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Der kausale Pfad benennt die Maßnahmen, die das Ergebnis erzeugen sollen. Verfehlt das Ziel, sucht man in den Maßnahmen, nicht im Zielwert.</w:t>
      </w:r>
    </w:p>
    <w:p>
      <w:pPr>
        <w:keepNext/>
        <w:spacing w:after="90" w:before="160"/>
      </w:pPr>
      <w:r>
        <w:rPr>
          <w:rFonts w:ascii="Aptos" w:cs="Aptos" w:eastAsia="Aptos" w:hAnsi="Aptos"/>
          <w:b/>
          <w:bCs/>
          <w:color w:val="5A5A5A"/>
          <w:sz w:val="18"/>
          <w:szCs w:val="18"/>
        </w:rPr>
        <w:t xml:space="preserve">C2 Kausaler Pfad. Nr. 0: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26"/>
        <w:gridCol w:w="2629"/>
        <w:gridCol w:w="1314"/>
        <w:gridCol w:w="1840"/>
        <w:gridCol w:w="964"/>
        <w:gridCol w:w="2365"/>
      </w:tblGrid>
      <w:tr>
        <w:trPr>
          <w:tblHeader/>
        </w:trPr>
        <w:tc>
          <w:tcPr>
            <w:tcW w:type="dxa" w:w="52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Nr.</w:t>
            </w:r>
          </w:p>
        </w:tc>
        <w:tc>
          <w:tcPr>
            <w:tcW w:type="dxa" w:w="262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Maßnahme</w:t>
            </w:r>
          </w:p>
        </w:tc>
        <w:tc>
          <w:tcPr>
            <w:tcW w:type="dxa" w:w="131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Prozess</w:t>
            </w:r>
          </w:p>
        </w:tc>
        <w:tc>
          <w:tcPr>
            <w:tcW w:type="dxa" w:w="184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Verantwortlich</w:t>
            </w:r>
          </w:p>
        </w:tc>
        <w:tc>
          <w:tcPr>
            <w:tcW w:type="dxa" w:w="96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Termin</w:t>
            </w:r>
          </w:p>
        </w:tc>
        <w:tc>
          <w:tcPr>
            <w:tcW w:type="dxa" w:w="236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Erwartete Wirkung auf die Kennzahl</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0</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Digitales Pre-Check-in für 40 % der Anreisen</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Check-in</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Empfangsleitung</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Kürzere Wartezeit am Tresen</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1</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2</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3</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4</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5</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52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6</w:t>
            </w:r>
          </w:p>
        </w:tc>
        <w:tc>
          <w:tcPr>
            <w:tcW w:type="dxa" w:w="262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31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84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96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36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90" w:before="160"/>
      </w:pPr>
      <w:r>
        <w:rPr>
          <w:rFonts w:ascii="Aptos" w:cs="Aptos" w:eastAsia="Aptos" w:hAnsi="Aptos"/>
          <w:b/>
          <w:bCs/>
          <w:color w:val="5A5A5A"/>
          <w:sz w:val="18"/>
          <w:szCs w:val="18"/>
        </w:rPr>
        <w:t xml:space="preserve">C3 Ressourcen, in der Planungsphase bestimmt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66"/>
        <w:gridCol w:w="3486"/>
        <w:gridCol w:w="2051"/>
        <w:gridCol w:w="1435"/>
      </w:tblGrid>
      <w:tr>
        <w:trPr>
          <w:tblHeader/>
        </w:trPr>
        <w:tc>
          <w:tcPr>
            <w:tcW w:type="dxa" w:w="266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Ressource</w:t>
            </w:r>
          </w:p>
        </w:tc>
        <w:tc>
          <w:tcPr>
            <w:tcW w:type="dxa" w:w="348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Bedarf</w:t>
            </w:r>
          </w:p>
        </w:tc>
        <w:tc>
          <w:tcPr>
            <w:tcW w:type="dxa" w:w="2051"/>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Bestätigt durch (Name)</w:t>
            </w:r>
          </w:p>
        </w:tc>
        <w:tc>
          <w:tcPr>
            <w:tcW w:type="dxa" w:w="1435"/>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Personal und Arbeitszeit</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Budget</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Technik und Infrastruktur</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Wissen und Schulung</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Externe Leistungen</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266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Sonstiges</w:t>
            </w:r>
          </w:p>
        </w:tc>
        <w:tc>
          <w:tcPr>
            <w:tcW w:type="dxa" w:w="348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2051"/>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435"/>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spacing w:after="140" w:before="0" w:line="300"/>
        <w:jc w:val="both"/>
      </w:pPr>
      <w:r>
        <w:rPr>
          <w:rFonts w:ascii="Aptos" w:cs="Aptos" w:eastAsia="Aptos" w:hAnsi="Aptos"/>
          <w:color w:val="1A1A1A"/>
          <w:sz w:val="21"/>
          <w:szCs w:val="21"/>
        </w:rPr>
        <w:t xml:space="preserve">Verantwortung ohne Ressourcen erzeugt strukturelles Scheitern. Die Ressourcen werden vor dem Start bestätigt, nicht erst gesucht, wenn der Zielwert verfehlt wird.</w:t>
      </w:r>
    </w:p>
    <w:p>
      <w:pPr>
        <w:keepNext/>
        <w:spacing w:after="90" w:before="160"/>
      </w:pPr>
      <w:r>
        <w:rPr>
          <w:rFonts w:ascii="Aptos" w:cs="Aptos" w:eastAsia="Aptos" w:hAnsi="Aptos"/>
          <w:b/>
          <w:bCs/>
          <w:color w:val="5A5A5A"/>
          <w:sz w:val="18"/>
          <w:szCs w:val="18"/>
        </w:rPr>
        <w:t xml:space="preserve">C4 Messung und Bewertung der Ergebnisse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Kennzahl und Definition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Datenquelle</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Messfrequenz (wöchentlich für volatile, monatlich für stabile Prozesse)</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Ausgangswert und Datum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Bericht an (Funktion) und Rhythmus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C5 Zwischenmeilensteine (im operativen Kalender, nicht nur im Qualitätskalender)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349"/>
        <w:gridCol w:w="1349"/>
        <w:gridCol w:w="1349"/>
        <w:gridCol w:w="1349"/>
        <w:gridCol w:w="4242"/>
      </w:tblGrid>
      <w:tr>
        <w:trPr>
          <w:tblHeader/>
        </w:trPr>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Datum</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Sollwert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Istwert</w:t>
            </w:r>
          </w:p>
        </w:tc>
        <w:tc>
          <w:tcPr>
            <w:tcW w:type="dxa" w:w="134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Abweichung</w:t>
            </w:r>
          </w:p>
        </w:tc>
        <w:tc>
          <w:tcPr>
            <w:tcW w:type="dxa" w:w="4242"/>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Kommentar / Folgeschritt</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134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c>
          <w:tcPr>
            <w:tcW w:type="dxa" w:w="4242"/>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C6 Frühwarnsignal und Revisionsauslöser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Frühwarnsignal (welcher Wert, welcher Zeitraum)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Beispiel (Kompositfall, anzupassen): Schnitt über 7 Min. im April oder Mai</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Wer reagiert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Binnen welcher Frist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Eskalation an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Mögliche Gegenmaßnahmen</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90" w:before="160"/>
      </w:pPr>
      <w:r>
        <w:rPr>
          <w:rFonts w:ascii="Aptos" w:cs="Aptos" w:eastAsia="Aptos" w:hAnsi="Aptos"/>
          <w:b/>
          <w:bCs/>
          <w:color w:val="5A5A5A"/>
          <w:sz w:val="18"/>
          <w:szCs w:val="18"/>
        </w:rPr>
        <w:t xml:space="preserve">C7 Abschluss und kausaler Test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84"/>
        <w:gridCol w:w="5354"/>
      </w:tblGrid>
      <w:tr>
        <w:trPr>
          <w:tblHeader/>
        </w:trPr>
        <w:tc>
          <w:tcPr>
            <w:tcW w:type="dxa" w:w="428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Feld</w:t>
            </w:r>
          </w:p>
        </w:tc>
        <w:tc>
          <w:tcPr>
            <w:tcW w:type="dxa" w:w="5354"/>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Erreichter Wert und Datum</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Welche Maßnahmen haben das Ergebnis erzeugt?</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Wäre das Ergebnis auch ohne diese Maßnahmen eingetreten? (ja / nein, Begründung)</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Lehre für den nächsten Zyklus</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428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Folgeziel oder Erhaltungsziel</w:t>
            </w:r>
          </w:p>
        </w:tc>
        <w:tc>
          <w:tcPr>
            <w:tcW w:type="dxa" w:w="5354"/>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D. Kausaler Test der bisherigen Ziele</w:t>
      </w:r>
    </w:p>
    <w:p>
      <w:pPr>
        <w:spacing w:after="140" w:before="0" w:line="300"/>
        <w:jc w:val="both"/>
      </w:pPr>
      <w:r>
        <w:rPr>
          <w:rFonts w:ascii="Aptos" w:cs="Aptos" w:eastAsia="Aptos" w:hAnsi="Aptos"/>
          <w:color w:val="1A1A1A"/>
          <w:sz w:val="21"/>
          <w:szCs w:val="21"/>
        </w:rPr>
        <w:t xml:space="preserve">Vor dem neuen Zyklus werden die Ziele des Vorjahres geprüft. Wäre das Ergebnis auch ohne Systemmaßnahmen eingetreten, war das Ziel nicht mit dem System verbunden.</w:t>
      </w:r>
    </w:p>
    <w:p>
      <w:pPr>
        <w:keepNext/>
        <w:spacing w:after="90" w:before="160"/>
      </w:pPr>
      <w:r>
        <w:rPr>
          <w:rFonts w:ascii="Aptos" w:cs="Aptos" w:eastAsia="Aptos" w:hAnsi="Aptos"/>
          <w:b/>
          <w:bCs/>
          <w:color w:val="5A5A5A"/>
          <w:sz w:val="18"/>
          <w:szCs w:val="18"/>
        </w:rPr>
        <w:t xml:space="preserve">Erste Zeile: Beispiel (Kompositfall, anzupassen)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059"/>
        <w:gridCol w:w="1216"/>
        <w:gridCol w:w="2620"/>
        <w:gridCol w:w="2246"/>
        <w:gridCol w:w="1497"/>
      </w:tblGrid>
      <w:tr>
        <w:trPr>
          <w:tblHeader/>
        </w:trPr>
        <w:tc>
          <w:tcPr>
            <w:tcW w:type="dxa" w:w="2059"/>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Ziel</w:t>
            </w:r>
          </w:p>
        </w:tc>
        <w:tc>
          <w:tcPr>
            <w:tcW w:type="dxa" w:w="121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Stand</w:t>
            </w:r>
          </w:p>
        </w:tc>
        <w:tc>
          <w:tcPr>
            <w:tcW w:type="dxa" w:w="262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Systemmaßnahmen, die das Ergebnis erzeugten</w:t>
            </w:r>
          </w:p>
        </w:tc>
        <w:tc>
          <w:tcPr>
            <w:tcW w:type="dxa" w:w="2246"/>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Systemunabhängige Faktoren</w:t>
            </w:r>
          </w:p>
        </w:tc>
        <w:tc>
          <w:tcPr>
            <w:tcW w:type="dxa" w:w="1497"/>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7"/>
                <w:szCs w:val="17"/>
              </w:rPr>
              <w:t xml:space="preserve">Befund</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Zufriedenheitswert über 8,5</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erreicht</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keine spezifische Maßnahme</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allgemeine Markterholung</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nicht verbunden</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r>
        <w:trPr>
          <w:cantSplit/>
        </w:trPr>
        <w:tc>
          <w:tcPr>
            <w:tcW w:type="dxa" w:w="2059"/>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7"/>
                <w:szCs w:val="17"/>
              </w:rPr>
              <w:t xml:space="preserve"> </w:t>
            </w:r>
          </w:p>
        </w:tc>
        <w:tc>
          <w:tcPr>
            <w:tcW w:type="dxa" w:w="121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62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2246"/>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c>
          <w:tcPr>
            <w:tcW w:type="dxa" w:w="1497"/>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7"/>
                <w:szCs w:val="17"/>
              </w:rPr>
              <w:t xml:space="preserve"> </w:t>
            </w:r>
          </w:p>
        </w:tc>
      </w:tr>
    </w:tbl>
    <w:p>
      <w:pPr>
        <w:spacing w:after="140"/>
      </w:pPr>
    </w:p>
    <w:p>
      <w:pPr>
        <w:keepNext/>
        <w:spacing w:after="120" w:before="280"/>
      </w:pPr>
      <w:r>
        <w:rPr>
          <w:rFonts w:ascii="Aptos" w:cs="Aptos" w:eastAsia="Aptos" w:hAnsi="Aptos"/>
          <w:b/>
          <w:bCs/>
          <w:color w:val="8C5A2B"/>
          <w:sz w:val="26"/>
          <w:szCs w:val="26"/>
        </w:rPr>
        <w:t xml:space="preserve">E. Wenn das Ziel eine Änderung verlangt (6.3)</w:t>
      </w:r>
    </w:p>
    <w:p>
      <w:pPr>
        <w:spacing w:after="140" w:before="0" w:line="300"/>
        <w:jc w:val="both"/>
      </w:pPr>
      <w:r>
        <w:rPr>
          <w:rFonts w:ascii="Aptos" w:cs="Aptos" w:eastAsia="Aptos" w:hAnsi="Aptos"/>
          <w:color w:val="1A1A1A"/>
          <w:sz w:val="21"/>
          <w:szCs w:val="21"/>
        </w:rPr>
        <w:t xml:space="preserve">Verlangt der kausale Pfad eine Änderung am System, etwa einen Tresenumbau oder ein neues digitales Verfahren, wird sie geplant. Ein bestimmtes Formular ist nicht vorgeschrieben.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748"/>
        <w:gridCol w:w="5890"/>
      </w:tblGrid>
      <w:tr>
        <w:trPr>
          <w:tblHeader/>
        </w:trPr>
        <w:tc>
          <w:tcPr>
            <w:tcW w:type="dxa" w:w="3748"/>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Prüfpunkt</w:t>
            </w:r>
          </w:p>
        </w:tc>
        <w:tc>
          <w:tcPr>
            <w:tcW w:type="dxa" w:w="5890"/>
            <w:tcBorders>
              <w:top w:val="single" w:color="C9BBA6" w:sz="4"/>
              <w:left w:val="single" w:color="C9BBA6" w:sz="4"/>
              <w:bottom w:val="single" w:color="C9BBA6" w:sz="4"/>
              <w:right w:val="single" w:color="C9BBA6" w:sz="4"/>
            </w:tcBorders>
            <w:shd w:fill="8C5A2B" w:color="auto" w:val="clear"/>
            <w:tcMar>
              <w:top w:type="dxa" w:w="70"/>
              <w:left w:type="dxa" w:w="90"/>
              <w:bottom w:type="dxa" w:w="70"/>
              <w:right w:type="dxa" w:w="90"/>
            </w:tcMar>
          </w:tcPr>
          <w:p>
            <w:pPr>
              <w:spacing w:after="0" w:line="260"/>
            </w:pPr>
            <w:r>
              <w:rPr>
                <w:rFonts w:ascii="Aptos" w:cs="Aptos" w:eastAsia="Aptos" w:hAnsi="Aptos"/>
                <w:b/>
                <w:bCs/>
                <w:color w:val="FFFFFF"/>
                <w:sz w:val="18"/>
                <w:szCs w:val="18"/>
              </w:rPr>
              <w:t xml:space="preserve">Eintrag</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Zweck der Änderung</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Mögliche Folgen</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Integrität des Qualitätsmanagementsystems</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Verfügbarkeit von Ressourcen</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Verantwortlichkeiten und Befugnisse</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r>
        <w:trPr>
          <w:cantSplit/>
        </w:trPr>
        <w:tc>
          <w:tcPr>
            <w:tcW w:type="dxa" w:w="3748"/>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bCs/>
                <w:color w:val="1A1A1A"/>
                <w:sz w:val="18"/>
                <w:szCs w:val="18"/>
              </w:rPr>
              <w:t xml:space="preserve">Freigabe, Einweisung, Wirksamkeitskontrolle</w:t>
            </w:r>
          </w:p>
        </w:tc>
        <w:tc>
          <w:tcPr>
            <w:tcW w:type="dxa" w:w="5890"/>
            <w:tcBorders>
              <w:top w:val="single" w:color="C9BBA6" w:sz="4"/>
              <w:left w:val="single" w:color="C9BBA6" w:sz="4"/>
              <w:bottom w:val="single" w:color="C9BBA6" w:sz="4"/>
              <w:right w:val="single" w:color="C9BBA6" w:sz="4"/>
            </w:tcBorders>
            <w:tcMar>
              <w:top w:type="dxa" w:w="70"/>
              <w:left w:type="dxa" w:w="90"/>
              <w:bottom w:type="dxa" w:w="70"/>
              <w:right w:type="dxa" w:w="90"/>
            </w:tcMar>
          </w:tcPr>
          <w:p>
            <w:pPr>
              <w:spacing w:after="0" w:line="260"/>
            </w:pPr>
            <w:r>
              <w:rPr>
                <w:rFonts w:ascii="Aptos" w:cs="Aptos" w:eastAsia="Aptos" w:hAnsi="Aptos"/>
                <w:b w:val="false"/>
                <w:bCs w:val="false"/>
                <w:color w:val="1A1A1A"/>
                <w:sz w:val="18"/>
                <w:szCs w:val="18"/>
              </w:rPr>
              <w:t xml:space="preserve"> </w:t>
            </w:r>
          </w:p>
        </w:tc>
      </w:tr>
    </w:tbl>
    <w:p>
      <w:pPr>
        <w:spacing w:after="140"/>
      </w:pPr>
    </w:p>
    <w:p>
      <w:pPr>
        <w:keepNext/>
        <w:spacing w:after="120" w:before="280"/>
      </w:pPr>
      <w:r>
        <w:rPr>
          <w:rFonts w:ascii="Aptos" w:cs="Aptos" w:eastAsia="Aptos" w:hAnsi="Aptos"/>
          <w:b/>
          <w:bCs/>
          <w:color w:val="8C5A2B"/>
          <w:sz w:val="26"/>
          <w:szCs w:val="26"/>
        </w:rPr>
        <w:t xml:space="preserve">Was dieses Material nicht ist</w:t>
      </w:r>
    </w:p>
    <w:p>
      <w:pPr>
        <w:spacing w:after="140" w:before="0" w:line="300"/>
        <w:jc w:val="both"/>
      </w:pPr>
      <w:r>
        <w:rPr>
          <w:rFonts w:ascii="Aptos" w:cs="Aptos" w:eastAsia="Aptos" w:hAnsi="Aptos"/>
          <w:color w:val="1A1A1A"/>
          <w:sz w:val="21"/>
          <w:szCs w:val="21"/>
        </w:rPr>
        <w:t xml:space="preserve">Diese Vorlage ersetzt nicht den Normtext der ISO 9001:2026 und keine Rechts- oder Zertifizierungsberatung. Die Beispiele stammen aus Kompositfällen des Buches und sind an das eigene Haus anzupassen. Ziele, Ressourcen und Verantwortung legt die Leitung des Hauses fest. Stand: 13. Oktober 2026.</w:t>
      </w:r>
    </w:p>
    <w:p>
      <w:pPr>
        <w:spacing w:after="140" w:before="0" w:line="300"/>
        <w:jc w:val="both"/>
      </w:pPr>
      <w:r>
        <w:rPr>
          <w:rFonts w:ascii="Aptos" w:cs="Aptos" w:eastAsia="Aptos" w:hAnsi="Aptos"/>
          <w:i/>
          <w:iCs/>
          <w:color w:val="1A1A1A"/>
          <w:sz w:val="21"/>
          <w:szCs w:val="21"/>
        </w:rPr>
        <w:t xml:space="preserve">Bezug im Buch: Band 2a, Abschnitt 2.4</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5A5A5A"/>
        <w:sz w:val="16"/>
        <w:szCs w:val="16"/>
      </w:rPr>
      <w:t xml:space="preserve">Francesco Dore · Das Steuer und die Lupe · Band 2a · Seite </w:t>
    </w:r>
    <w:r>
      <w:rPr>
        <w:rFonts w:ascii="Aptos" w:cs="Aptos" w:eastAsia="Aptos" w:hAnsi="Aptos"/>
        <w:color w:val="5A5A5A"/>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lvl>
  </w:abstractNum>
  <w:abstractNum w:abstractNumId="3" w15:restartNumberingAfterBreak="0">
    <w:multiLevelType w:val="hybridMultilevel"/>
    <w:lvl w:ilvl="0" w15:tentative="1">
      <w:start w:val="1"/>
      <w:numFmt w:val="decimal"/>
      <w:lvlText w:val="%1."/>
      <w:lvlJc w:val="left"/>
      <w:pPr>
        <w:ind w:left="400" w:hanging="3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002060"/>
      <w:sz w:val="36"/>
      <w:szCs w:val="3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Francesco Dore</dc:creator>
  <cp:lastModifiedBy>Un-named</cp:lastModifiedBy>
  <cp:revision>1</cp:revision>
  <dcterms:created xsi:type="dcterms:W3CDTF">2026-10-13T00:12:40.697Z</dcterms:created>
  <dcterms:modified xsi:type="dcterms:W3CDTF">2026-10-13T00:12:40.698Z</dcterms:modified>
</cp:coreProperties>
</file>

<file path=docProps/custom.xml><?xml version="1.0" encoding="utf-8"?>
<Properties xmlns="http://schemas.openxmlformats.org/officeDocument/2006/custom-properties" xmlns:vt="http://schemas.openxmlformats.org/officeDocument/2006/docPropsVTypes"/>
</file>