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rFonts w:ascii="Aptos" w:hAnsi="Aptos" w:cs="Aptos" w:eastAsia="Aptos"/>
          <w:b/>
          <w:i w:val="0"/>
          <w:color w:val="7A6A55"/>
          <w:sz w:val="16"/>
        </w:rPr>
        <w:t>UNTERSUCHUNGSBOGEN · VORLAGE ZU ABSCHNITT 3.12 DES BANDES 3b</w:t>
      </w:r>
    </w:p>
    <w:p>
      <w:pPr>
        <w:spacing w:after="20"/>
        <w:pBdr>
          <w:bottom w:val="single" w:sz="8" w:space="2" w:color="C9BBA6"/>
        </w:pBdr>
      </w:pPr>
      <w:r>
        <w:rPr>
          <w:rFonts w:ascii="Aptos" w:hAnsi="Aptos" w:cs="Aptos" w:eastAsia="Aptos"/>
          <w:b/>
          <w:i w:val="0"/>
          <w:color w:val="8C5A2B"/>
          <w:sz w:val="34"/>
        </w:rPr>
        <w:t>Der Untersuchungsbogen auf einer Seite</w:t>
      </w:r>
    </w:p>
    <w:p>
      <w:pPr>
        <w:spacing w:after="60"/>
      </w:pPr>
      <w:r>
        <w:rPr>
          <w:rFonts w:ascii="Aptos" w:hAnsi="Aptos" w:cs="Aptos" w:eastAsia="Aptos"/>
          <w:b w:val="0"/>
          <w:i/>
          <w:color w:val="7A6A55"/>
          <w:sz w:val="17"/>
        </w:rPr>
        <w:t>So nutzen Sie diese Vorlage: Ein Hilfsmittel für den Blick, kein Ablagestück. Zuerst wird erhoben (Blöcke 1–4), erst dann bewertet (ab der Linie). Das Feld «Ursache» gibt es nicht – an seiner Stelle stehen die Bedingungen. Das Wort «Unachtsamkeit» ist als Eintrag nicht zugelassen. Keine Diagnose eintragen; für die Auswertung genügen die Ausfalltage.</w:t>
      </w:r>
    </w:p>
    <w:tbl>
      <w:tblPr>
        <w:tblW w:type="auto" w:w="0"/>
        <w:tblLayout w:type="fixed"/>
        <w:tblLook w:firstColumn="1" w:firstRow="1" w:lastColumn="0" w:lastRow="0" w:noHBand="0" w:noVBand="1" w:val="04A0"/>
      </w:tblPr>
      <w:tblGrid>
        <w:gridCol w:w="1701"/>
        <w:gridCol w:w="1701"/>
        <w:gridCol w:w="1701"/>
        <w:gridCol w:w="1701"/>
        <w:gridCol w:w="1701"/>
        <w:gridCol w:w="1701"/>
      </w:tblGrid>
      <w:tr>
        <w:tc>
          <w:tcPr>
            <w:tcW w:type="dxa" w:w="1701"/>
          </w:tcPr>
          <w:p/>
        </w:tc>
        <w:tc>
          <w:tcPr>
            <w:tcW w:type="dxa" w:w="1701"/>
          </w:tcPr>
          <w:p/>
        </w:tc>
        <w:tc>
          <w:tcPr>
            <w:tcW w:type="dxa" w:w="1701"/>
          </w:tcPr>
          <w:p/>
        </w:tc>
        <w:tc>
          <w:tcPr>
            <w:tcW w:type="dxa" w:w="1701"/>
          </w:tcPr>
          <w:p/>
        </w:tc>
        <w:tc>
          <w:tcPr>
            <w:tcW w:type="dxa" w:w="1701"/>
          </w:tcPr>
          <w:p/>
        </w:tc>
        <w:tc>
          <w:tcPr>
            <w:tcW w:type="dxa" w:w="1701"/>
          </w:tcPr>
          <w:p/>
        </w:tc>
      </w:tr>
      <w:tr>
        <w:tc>
          <w:tcPr>
            <w:tcW w:type="dxa" w:w="1701"/>
          </w:tcPr>
          <w:p/>
        </w:tc>
        <w:tc>
          <w:tcPr>
            <w:tcW w:type="dxa" w:w="1701"/>
          </w:tcPr>
          <w:p/>
        </w:tc>
        <w:tc>
          <w:tcPr>
            <w:tcW w:type="dxa" w:w="1701"/>
          </w:tcPr>
          <w:p/>
        </w:tc>
        <w:tc>
          <w:tcPr>
            <w:tcW w:type="dxa" w:w="1701"/>
          </w:tcPr>
          <w:p/>
        </w:tc>
        <w:tc>
          <w:tcPr>
            <w:tcW w:type="dxa" w:w="1701"/>
          </w:tcPr>
          <w:p/>
        </w:tc>
        <w:tc>
          <w:tcPr>
            <w:tcW w:type="dxa" w:w="1701"/>
          </w:tcPr>
          <w:p/>
        </w:tc>
      </w:tr>
    </w:tbl>
    <w:tbl>
      <w:tblPr>
        <w:tblW w:type="auto" w:w="0"/>
        <w:tblLayout w:type="fixed"/>
        <w:tblLook w:firstColumn="1" w:firstRow="1" w:lastColumn="0" w:lastRow="0" w:noHBand="0" w:noVBand="1" w:val="04A0"/>
      </w:tblPr>
      <w:tblGrid>
        <w:gridCol w:w="3402"/>
        <w:gridCol w:w="3402"/>
        <w:gridCol w:w="3402"/>
      </w:tblGrid>
      <w:tr>
        <w:trPr>
          <w:trHeight w:val="538" w:hRule="atLeast"/>
          <w:trHeight w:val="538" w:hRule="atLeast"/>
          <w:trHeight w:val="538" w:hRule="atLeast"/>
        </w:trPr>
        <w:tc>
          <w:tcPr>
            <w:tcW w:type="dxa" w:w="3402"/>
            <w:tcBorders>
              <w:bottom w:val="single" w:sz="6" w:space="0" w:color="C9BBA6"/>
            </w:tcBorders>
          </w:tcPr>
          <w:p>
            <w:pPr>
              <w:spacing w:after="0"/>
            </w:pPr>
            <w:r>
              <w:rPr>
                <w:rFonts w:ascii="Aptos" w:hAnsi="Aptos" w:cs="Aptos" w:eastAsia="Aptos"/>
                <w:b/>
                <w:i w:val="0"/>
                <w:color w:val="8C5A2B"/>
                <w:sz w:val="15"/>
              </w:rPr>
              <w:t>Datum / Uhrzeit des Ereignisses</w:t>
            </w:r>
          </w:p>
        </w:tc>
        <w:tc>
          <w:tcPr>
            <w:tcW w:type="dxa" w:w="3402"/>
            <w:tcBorders>
              <w:bottom w:val="single" w:sz="6" w:space="0" w:color="C9BBA6"/>
            </w:tcBorders>
          </w:tcPr>
          <w:p>
            <w:pPr>
              <w:spacing w:after="0"/>
            </w:pPr>
            <w:r>
              <w:rPr>
                <w:rFonts w:ascii="Aptos" w:hAnsi="Aptos" w:cs="Aptos" w:eastAsia="Aptos"/>
                <w:b/>
                <w:i w:val="0"/>
                <w:color w:val="8C5A2B"/>
                <w:sz w:val="15"/>
              </w:rPr>
              <w:t>Anlass nach Staffelung (Rückseite)</w:t>
            </w:r>
          </w:p>
        </w:tc>
        <w:tc>
          <w:tcPr>
            <w:tcW w:type="dxa" w:w="3402"/>
            <w:tcBorders>
              <w:bottom w:val="single" w:sz="6" w:space="0" w:color="C9BBA6"/>
            </w:tcBorders>
          </w:tcPr>
          <w:p>
            <w:pPr>
              <w:spacing w:after="0"/>
            </w:pPr>
            <w:r>
              <w:rPr>
                <w:rFonts w:ascii="Aptos" w:hAnsi="Aptos" w:cs="Aptos" w:eastAsia="Aptos"/>
                <w:b/>
                <w:i w:val="0"/>
                <w:color w:val="8C5A2B"/>
                <w:sz w:val="15"/>
              </w:rPr>
              <w:t>Untersucht von (Person aus anderem Bereich)</w:t>
            </w:r>
          </w:p>
        </w:tc>
      </w:tr>
      <w:tr>
        <w:trPr>
          <w:trHeight w:val="538" w:hRule="atLeast"/>
          <w:trHeight w:val="538" w:hRule="atLeast"/>
          <w:trHeight w:val="538" w:hRule="atLeast"/>
        </w:trPr>
        <w:tc>
          <w:tcPr>
            <w:tcW w:type="dxa" w:w="3402"/>
            <w:tcBorders>
              <w:bottom w:val="single" w:sz="6" w:space="0" w:color="C9BBA6"/>
            </w:tcBorders>
          </w:tcPr>
          <w:p>
            <w:pPr>
              <w:spacing w:after="0"/>
            </w:pPr>
            <w:r>
              <w:rPr>
                <w:rFonts w:ascii="Aptos" w:hAnsi="Aptos" w:cs="Aptos" w:eastAsia="Aptos"/>
                <w:b/>
                <w:i w:val="0"/>
                <w:color w:val="8C5A2B"/>
                <w:sz w:val="15"/>
              </w:rPr>
              <w:t>Gespräch mit der betroffenen Person am</w:t>
            </w:r>
          </w:p>
        </w:tc>
        <w:tc>
          <w:tcPr>
            <w:tcW w:type="dxa" w:w="3402"/>
            <w:tcBorders>
              <w:bottom w:val="single" w:sz="6" w:space="0" w:color="C9BBA6"/>
            </w:tcBorders>
          </w:tcPr>
          <w:p>
            <w:pPr>
              <w:spacing w:after="0"/>
            </w:pPr>
            <w:r>
              <w:rPr>
                <w:rFonts w:ascii="Aptos" w:hAnsi="Aptos" w:cs="Aptos" w:eastAsia="Aptos"/>
                <w:b/>
                <w:i w:val="0"/>
                <w:color w:val="8C5A2B"/>
                <w:sz w:val="15"/>
              </w:rPr>
              <w:t>Mit (Sicherheitsvertrauensperson, Vertretung)</w:t>
            </w:r>
          </w:p>
        </w:tc>
        <w:tc>
          <w:tcPr>
            <w:tcW w:type="dxa" w:w="3402"/>
            <w:tcBorders>
              <w:bottom w:val="single" w:sz="6" w:space="0" w:color="C9BBA6"/>
            </w:tcBorders>
          </w:tcPr>
          <w:p>
            <w:pPr>
              <w:spacing w:after="0"/>
            </w:pPr>
            <w:r>
              <w:rPr>
                <w:rFonts w:ascii="Aptos" w:hAnsi="Aptos" w:cs="Aptos" w:eastAsia="Aptos"/>
                <w:b/>
                <w:i w:val="0"/>
                <w:color w:val="8C5A2B"/>
                <w:sz w:val="15"/>
              </w:rPr>
              <w:t>Bogen abgeschlossen am</w:t>
            </w:r>
          </w:p>
        </w:tc>
      </w:tr>
    </w:tbl>
    <w:p>
      <w:pPr>
        <w:spacing w:after="20"/>
      </w:pPr>
    </w:p>
    <w:tbl>
      <w:tblPr>
        <w:tblW w:type="auto" w:w="0"/>
        <w:tblLayout w:type="fixed"/>
        <w:tblLook w:firstColumn="1" w:firstRow="1" w:lastColumn="0" w:lastRow="0" w:noHBand="0" w:noVBand="1" w:val="04A0"/>
      </w:tblPr>
      <w:tblGrid>
        <w:gridCol w:w="1928"/>
        <w:gridCol w:w="8277"/>
      </w:tblGrid>
      <w:tr>
        <w:trPr>
          <w:cantSplit w:val="true"/>
          <w:trHeight w:val="1020" w:hRule="atLeast"/>
        </w:trPr>
        <w:tc>
          <w:tcPr>
            <w:tcW w:type="dxa" w:w="1928"/>
            <w:tcBorders>
              <w:top w:val="single" w:sz="4" w:space="0" w:color="C9BBA6"/>
              <w:left w:val="single" w:sz="4" w:space="0" w:color="C9BBA6"/>
              <w:bottom w:val="single" w:sz="4" w:space="0" w:color="C9BBA6"/>
              <w:right w:val="single" w:sz="4" w:space="0" w:color="C9BBA6"/>
            </w:tcBorders>
            <w:shd w:val="clear" w:color="auto" w:fill="EFE7DC"/>
          </w:tcPr>
          <w:p>
            <w:pPr>
              <w:spacing w:after="0"/>
            </w:pPr>
            <w:r>
              <w:rPr>
                <w:rFonts w:ascii="Aptos" w:hAnsi="Aptos" w:cs="Aptos" w:eastAsia="Aptos"/>
                <w:b/>
                <w:i w:val="0"/>
                <w:color w:val="8C5A2B"/>
                <w:sz w:val="18"/>
              </w:rPr>
              <w:t>1  Was geschah</w:t>
            </w:r>
          </w:p>
        </w:tc>
        <w:tc>
          <w:tcPr>
            <w:tcW w:type="dxa" w:w="8277"/>
            <w:tcBorders>
              <w:top w:val="single" w:sz="4" w:space="0" w:color="C9BBA6"/>
              <w:left w:val="single" w:sz="4" w:space="0" w:color="C9BBA6"/>
              <w:bottom w:val="single" w:sz="4" w:space="0" w:color="C9BBA6"/>
              <w:right w:val="single" w:sz="4" w:space="0" w:color="C9BBA6"/>
            </w:tcBorders>
          </w:tcPr>
          <w:p>
            <w:pPr>
              <w:spacing w:after="0"/>
            </w:pPr>
            <w:r>
              <w:rPr>
                <w:rFonts w:ascii="Aptos" w:hAnsi="Aptos" w:cs="Aptos" w:eastAsia="Aptos"/>
                <w:b w:val="0"/>
                <w:i/>
                <w:color w:val="7A6A55"/>
                <w:sz w:val="15"/>
              </w:rPr>
              <w:t>Zeit, Ort, Tätigkeit, Betriebssituation (Servicespitze, Schichtwechsel, Nacht) – ohne Bewertung. Wie oft macht die Person das: Routine oder Ausnahme?</w:t>
            </w:r>
          </w:p>
        </w:tc>
      </w:tr>
      <w:tr>
        <w:trPr>
          <w:cantSplit w:val="true"/>
          <w:trHeight w:val="963" w:hRule="atLeast"/>
        </w:trPr>
        <w:tc>
          <w:tcPr>
            <w:tcW w:type="dxa" w:w="1928"/>
            <w:tcBorders>
              <w:top w:val="single" w:sz="4" w:space="0" w:color="C9BBA6"/>
              <w:left w:val="single" w:sz="4" w:space="0" w:color="C9BBA6"/>
              <w:bottom w:val="single" w:sz="4" w:space="0" w:color="C9BBA6"/>
              <w:right w:val="single" w:sz="4" w:space="0" w:color="C9BBA6"/>
            </w:tcBorders>
            <w:shd w:val="clear" w:color="auto" w:fill="EFE7DC"/>
          </w:tcPr>
          <w:p>
            <w:pPr>
              <w:spacing w:after="0"/>
            </w:pPr>
            <w:r>
              <w:rPr>
                <w:rFonts w:ascii="Aptos" w:hAnsi="Aptos" w:cs="Aptos" w:eastAsia="Aptos"/>
                <w:b/>
                <w:i w:val="0"/>
                <w:color w:val="8C5A2B"/>
                <w:sz w:val="18"/>
              </w:rPr>
              <w:t>2  Zustand am Ort</w:t>
            </w:r>
          </w:p>
        </w:tc>
        <w:tc>
          <w:tcPr>
            <w:tcW w:type="dxa" w:w="8277"/>
            <w:tcBorders>
              <w:top w:val="single" w:sz="4" w:space="0" w:color="C9BBA6"/>
              <w:left w:val="single" w:sz="4" w:space="0" w:color="C9BBA6"/>
              <w:bottom w:val="single" w:sz="4" w:space="0" w:color="C9BBA6"/>
              <w:right w:val="single" w:sz="4" w:space="0" w:color="C9BBA6"/>
            </w:tcBorders>
          </w:tcPr>
          <w:p>
            <w:pPr>
              <w:spacing w:after="0"/>
            </w:pPr>
            <w:r>
              <w:rPr>
                <w:rFonts w:ascii="Aptos" w:hAnsi="Aptos" w:cs="Aptos" w:eastAsia="Aptos"/>
                <w:b w:val="0"/>
                <w:i/>
                <w:color w:val="7A6A55"/>
                <w:sz w:val="15"/>
              </w:rPr>
              <w:t>Boden, Wege, Licht, Hilfsmittel, Ausrüstung. Foto ohne Personen? ☐ ja  ☐ nein  – Der Zustand ändert sich innerhalb von Stunden.</w:t>
            </w:r>
          </w:p>
        </w:tc>
      </w:tr>
      <w:tr>
        <w:trPr>
          <w:cantSplit w:val="true"/>
          <w:trHeight w:val="963" w:hRule="atLeast"/>
        </w:trPr>
        <w:tc>
          <w:tcPr>
            <w:tcW w:type="dxa" w:w="1928"/>
            <w:tcBorders>
              <w:top w:val="single" w:sz="4" w:space="0" w:color="C9BBA6"/>
              <w:left w:val="single" w:sz="4" w:space="0" w:color="C9BBA6"/>
              <w:bottom w:val="single" w:sz="4" w:space="0" w:color="C9BBA6"/>
              <w:right w:val="single" w:sz="4" w:space="0" w:color="C9BBA6"/>
            </w:tcBorders>
            <w:shd w:val="clear" w:color="auto" w:fill="EFE7DC"/>
          </w:tcPr>
          <w:p>
            <w:pPr>
              <w:spacing w:after="0"/>
            </w:pPr>
            <w:r>
              <w:rPr>
                <w:rFonts w:ascii="Aptos" w:hAnsi="Aptos" w:cs="Aptos" w:eastAsia="Aptos"/>
                <w:b/>
                <w:i w:val="0"/>
                <w:color w:val="8C5A2B"/>
                <w:sz w:val="18"/>
              </w:rPr>
              <w:t>3  Vorgeschichte</w:t>
            </w:r>
          </w:p>
        </w:tc>
        <w:tc>
          <w:tcPr>
            <w:tcW w:type="dxa" w:w="8277"/>
            <w:tcBorders>
              <w:top w:val="single" w:sz="4" w:space="0" w:color="C9BBA6"/>
              <w:left w:val="single" w:sz="4" w:space="0" w:color="C9BBA6"/>
              <w:bottom w:val="single" w:sz="4" w:space="0" w:color="C9BBA6"/>
              <w:right w:val="single" w:sz="4" w:space="0" w:color="C9BBA6"/>
            </w:tcBorders>
          </w:tcPr>
          <w:p>
            <w:pPr>
              <w:spacing w:after="0"/>
            </w:pPr>
            <w:r>
              <w:rPr>
                <w:rFonts w:ascii="Aptos" w:hAnsi="Aptos" w:cs="Aptos" w:eastAsia="Aptos"/>
                <w:b w:val="0"/>
                <w:i/>
                <w:color w:val="7A6A55"/>
                <w:sz w:val="15"/>
              </w:rPr>
              <w:t>Was war in den letzten Wochen anders? Defekte, Änderungen, Personalwechsel, neue Mittel. Wer war anwesend, wer hat es gesehen?</w:t>
            </w:r>
          </w:p>
        </w:tc>
      </w:tr>
      <w:tr>
        <w:trPr>
          <w:cantSplit w:val="true"/>
          <w:trHeight w:val="850" w:hRule="atLeast"/>
        </w:trPr>
        <w:tc>
          <w:tcPr>
            <w:tcW w:type="dxa" w:w="1928"/>
            <w:tcBorders>
              <w:top w:val="single" w:sz="4" w:space="0" w:color="C9BBA6"/>
              <w:left w:val="single" w:sz="4" w:space="0" w:color="C9BBA6"/>
              <w:bottom w:val="single" w:sz="4" w:space="0" w:color="C9BBA6"/>
              <w:right w:val="single" w:sz="4" w:space="0" w:color="C9BBA6"/>
            </w:tcBorders>
            <w:shd w:val="clear" w:color="auto" w:fill="EFE7DC"/>
          </w:tcPr>
          <w:p>
            <w:pPr>
              <w:spacing w:after="0"/>
            </w:pPr>
            <w:r>
              <w:rPr>
                <w:rFonts w:ascii="Aptos" w:hAnsi="Aptos" w:cs="Aptos" w:eastAsia="Aptos"/>
                <w:b/>
                <w:i w:val="0"/>
                <w:color w:val="8C5A2B"/>
                <w:sz w:val="18"/>
              </w:rPr>
              <w:t>4  Frühere Meldungen</w:t>
            </w:r>
          </w:p>
        </w:tc>
        <w:tc>
          <w:tcPr>
            <w:tcW w:type="dxa" w:w="8277"/>
            <w:tcBorders>
              <w:top w:val="single" w:sz="4" w:space="0" w:color="C9BBA6"/>
              <w:left w:val="single" w:sz="4" w:space="0" w:color="C9BBA6"/>
              <w:bottom w:val="single" w:sz="4" w:space="0" w:color="C9BBA6"/>
              <w:right w:val="single" w:sz="4" w:space="0" w:color="C9BBA6"/>
            </w:tcBorders>
          </w:tcPr>
          <w:p>
            <w:pPr>
              <w:spacing w:after="0"/>
            </w:pPr>
            <w:r>
              <w:rPr>
                <w:rFonts w:ascii="Aptos" w:hAnsi="Aptos" w:cs="Aptos" w:eastAsia="Aptos"/>
                <w:b w:val="0"/>
                <w:i/>
                <w:color w:val="7A6A55"/>
                <w:sz w:val="15"/>
              </w:rPr>
              <w:t>Wurde etwas davon vorher gemeldet – an wen, wann, mit welcher Folge? (Die wichtigste Frage der ganzen Untersuchung.)</w:t>
            </w:r>
          </w:p>
        </w:tc>
      </w:tr>
    </w:tbl>
    <w:tbl>
      <w:tblPr>
        <w:tblW w:type="auto" w:w="0"/>
        <w:tblLook w:firstColumn="1" w:firstRow="1" w:lastColumn="0" w:lastRow="0" w:noHBand="0" w:noVBand="1" w:val="04A0"/>
      </w:tblPr>
      <w:tblGrid>
        <w:gridCol w:w="10205"/>
      </w:tblGrid>
      <w:tr>
        <w:tc>
          <w:tcPr>
            <w:tcW w:type="dxa" w:w="10205"/>
            <w:shd w:val="clear" w:color="auto" w:fill="8C5A2B"/>
          </w:tcPr>
          <w:p>
            <w:pPr>
              <w:spacing w:after="0"/>
            </w:pPr>
            <w:r>
              <w:rPr>
                <w:rFonts w:ascii="Aptos" w:hAnsi="Aptos" w:cs="Aptos" w:eastAsia="Aptos"/>
                <w:b/>
                <w:i w:val="0"/>
                <w:color w:val="FFFFFF"/>
                <w:sz w:val="17"/>
              </w:rPr>
              <w:t>AB HIER WIRD BEWERTET – nicht früher. Erst die Zeitachse, dann die Bedingungen, dann die Bewertung.</w:t>
            </w:r>
          </w:p>
        </w:tc>
      </w:tr>
    </w:tbl>
    <w:tbl>
      <w:tblPr>
        <w:tblW w:type="auto" w:w="0"/>
        <w:tblLayout w:type="fixed"/>
        <w:tblLook w:firstColumn="1" w:firstRow="1" w:lastColumn="0" w:lastRow="0" w:noHBand="0" w:noVBand="1" w:val="04A0"/>
      </w:tblPr>
      <w:tblGrid>
        <w:gridCol w:w="1928"/>
        <w:gridCol w:w="8277"/>
      </w:tblGrid>
      <w:tr>
        <w:trPr>
          <w:cantSplit w:val="true"/>
          <w:trHeight w:val="340" w:hRule="atLeast"/>
        </w:trPr>
        <w:tc>
          <w:tcPr>
            <w:tcW w:type="dxa" w:w="1928"/>
            <w:tcBorders>
              <w:top w:val="single" w:sz="4" w:space="0" w:color="C9BBA6"/>
              <w:left w:val="single" w:sz="4" w:space="0" w:color="C9BBA6"/>
              <w:bottom w:val="single" w:sz="4" w:space="0" w:color="C9BBA6"/>
              <w:right w:val="single" w:sz="4" w:space="0" w:color="C9BBA6"/>
            </w:tcBorders>
            <w:shd w:val="clear" w:color="auto" w:fill="EFE7DC"/>
          </w:tcPr>
          <w:p>
            <w:pPr>
              <w:spacing w:after="0"/>
            </w:pPr>
            <w:r>
              <w:rPr>
                <w:rFonts w:ascii="Aptos" w:hAnsi="Aptos" w:cs="Aptos" w:eastAsia="Aptos"/>
                <w:b/>
                <w:i w:val="0"/>
                <w:color w:val="8C5A2B"/>
                <w:sz w:val="18"/>
              </w:rPr>
              <w:t>5  Bedingungen</w:t>
            </w:r>
          </w:p>
        </w:tc>
        <w:tc>
          <w:tcPr>
            <w:tcW w:type="dxa" w:w="8277"/>
            <w:tcBorders>
              <w:top w:val="single" w:sz="4" w:space="0" w:color="C9BBA6"/>
              <w:left w:val="single" w:sz="4" w:space="0" w:color="C9BBA6"/>
              <w:bottom w:val="single" w:sz="4" w:space="0" w:color="C9BBA6"/>
              <w:right w:val="single" w:sz="4" w:space="0" w:color="C9BBA6"/>
            </w:tcBorders>
          </w:tcPr>
          <w:p>
            <w:pPr>
              <w:spacing w:after="0"/>
            </w:pPr>
            <w:r>
              <w:rPr>
                <w:rFonts w:ascii="Aptos" w:hAnsi="Aptos" w:cs="Aptos" w:eastAsia="Aptos"/>
                <w:b w:val="0"/>
                <w:i/>
                <w:color w:val="7A6A55"/>
                <w:sz w:val="15"/>
              </w:rPr>
              <w:t>Aufzählung – keine «Ursache». Je Bedingung eine Zeile.</w:t>
            </w:r>
          </w:p>
        </w:tc>
      </w:tr>
      <w:tr>
        <w:trPr>
          <w:cantSplit w:val="true"/>
          <w:trHeight w:val="623" w:hRule="atLeast"/>
        </w:trPr>
        <w:tc>
          <w:tcPr>
            <w:tcW w:type="dxa" w:w="1928"/>
            <w:tcBorders>
              <w:top w:val="single" w:sz="4" w:space="0" w:color="C9BBA6"/>
              <w:left w:val="single" w:sz="4" w:space="0" w:color="C9BBA6"/>
              <w:bottom w:val="single" w:sz="4" w:space="0" w:color="C9BBA6"/>
              <w:right w:val="single" w:sz="4" w:space="0" w:color="C9BBA6"/>
            </w:tcBorders>
            <w:shd w:val="clear" w:color="auto" w:fill="F7F2EA"/>
          </w:tcPr>
          <w:p>
            <w:pPr>
              <w:spacing w:after="0"/>
            </w:pPr>
            <w:r>
              <w:rPr>
                <w:rFonts w:ascii="Aptos" w:hAnsi="Aptos" w:cs="Aptos" w:eastAsia="Aptos"/>
                <w:b/>
                <w:i w:val="0"/>
                <w:color w:val="2B2B2B"/>
                <w:sz w:val="17"/>
              </w:rPr>
              <w:t>Unmittelbar</w:t>
            </w:r>
          </w:p>
        </w:tc>
        <w:tc>
          <w:tcPr>
            <w:tcW w:type="dxa" w:w="8277"/>
            <w:tcBorders>
              <w:top w:val="single" w:sz="4" w:space="0" w:color="C9BBA6"/>
              <w:left w:val="single" w:sz="4" w:space="0" w:color="C9BBA6"/>
              <w:bottom w:val="single" w:sz="4" w:space="0" w:color="C9BBA6"/>
              <w:right w:val="single" w:sz="4" w:space="0" w:color="C9BBA6"/>
            </w:tcBorders>
          </w:tcPr>
          <w:p>
            <w:pPr>
              <w:spacing w:after="0"/>
            </w:pPr>
            <w:r>
              <w:rPr>
                <w:rFonts w:ascii="Aptos" w:hAnsi="Aptos" w:cs="Aptos" w:eastAsia="Aptos"/>
                <w:b w:val="0"/>
                <w:i/>
                <w:color w:val="7A6A55"/>
                <w:sz w:val="15"/>
              </w:rPr>
              <w:t>Was am Ort und im Moment vorlag</w:t>
            </w:r>
          </w:p>
        </w:tc>
      </w:tr>
      <w:tr>
        <w:trPr>
          <w:cantSplit w:val="true"/>
          <w:trHeight w:val="623" w:hRule="atLeast"/>
        </w:trPr>
        <w:tc>
          <w:tcPr>
            <w:tcW w:type="dxa" w:w="1928"/>
            <w:tcBorders>
              <w:top w:val="single" w:sz="4" w:space="0" w:color="C9BBA6"/>
              <w:left w:val="single" w:sz="4" w:space="0" w:color="C9BBA6"/>
              <w:bottom w:val="single" w:sz="4" w:space="0" w:color="C9BBA6"/>
              <w:right w:val="single" w:sz="4" w:space="0" w:color="C9BBA6"/>
            </w:tcBorders>
            <w:shd w:val="clear" w:color="auto" w:fill="F7F2EA"/>
          </w:tcPr>
          <w:p>
            <w:pPr>
              <w:spacing w:after="0"/>
            </w:pPr>
            <w:r>
              <w:rPr>
                <w:rFonts w:ascii="Aptos" w:hAnsi="Aptos" w:cs="Aptos" w:eastAsia="Aptos"/>
                <w:b/>
                <w:i w:val="0"/>
                <w:color w:val="2B2B2B"/>
                <w:sz w:val="17"/>
              </w:rPr>
              <w:t>Beitragend</w:t>
            </w:r>
          </w:p>
        </w:tc>
        <w:tc>
          <w:tcPr>
            <w:tcW w:type="dxa" w:w="8277"/>
            <w:tcBorders>
              <w:top w:val="single" w:sz="4" w:space="0" w:color="C9BBA6"/>
              <w:left w:val="single" w:sz="4" w:space="0" w:color="C9BBA6"/>
              <w:bottom w:val="single" w:sz="4" w:space="0" w:color="C9BBA6"/>
              <w:right w:val="single" w:sz="4" w:space="0" w:color="C9BBA6"/>
            </w:tcBorders>
          </w:tcPr>
          <w:p>
            <w:pPr>
              <w:spacing w:after="0"/>
            </w:pPr>
            <w:r>
              <w:rPr>
                <w:rFonts w:ascii="Aptos" w:hAnsi="Aptos" w:cs="Aptos" w:eastAsia="Aptos"/>
                <w:b w:val="0"/>
                <w:i/>
                <w:color w:val="7A6A55"/>
                <w:sz w:val="15"/>
              </w:rPr>
              <w:t>Warum der Ort so war</w:t>
            </w:r>
          </w:p>
        </w:tc>
      </w:tr>
      <w:tr>
        <w:trPr>
          <w:cantSplit w:val="true"/>
          <w:trHeight w:val="623" w:hRule="atLeast"/>
        </w:trPr>
        <w:tc>
          <w:tcPr>
            <w:tcW w:type="dxa" w:w="1928"/>
            <w:tcBorders>
              <w:top w:val="single" w:sz="4" w:space="0" w:color="C9BBA6"/>
              <w:left w:val="single" w:sz="4" w:space="0" w:color="C9BBA6"/>
              <w:bottom w:val="single" w:sz="4" w:space="0" w:color="C9BBA6"/>
              <w:right w:val="single" w:sz="4" w:space="0" w:color="C9BBA6"/>
            </w:tcBorders>
            <w:shd w:val="clear" w:color="auto" w:fill="F7F2EA"/>
          </w:tcPr>
          <w:p>
            <w:pPr>
              <w:spacing w:after="0"/>
            </w:pPr>
            <w:r>
              <w:rPr>
                <w:rFonts w:ascii="Aptos" w:hAnsi="Aptos" w:cs="Aptos" w:eastAsia="Aptos"/>
                <w:b/>
                <w:i w:val="0"/>
                <w:color w:val="2B2B2B"/>
                <w:sz w:val="17"/>
              </w:rPr>
              <w:t>Latent</w:t>
            </w:r>
          </w:p>
        </w:tc>
        <w:tc>
          <w:tcPr>
            <w:tcW w:type="dxa" w:w="8277"/>
            <w:tcBorders>
              <w:top w:val="single" w:sz="4" w:space="0" w:color="C9BBA6"/>
              <w:left w:val="single" w:sz="4" w:space="0" w:color="C9BBA6"/>
              <w:bottom w:val="single" w:sz="4" w:space="0" w:color="C9BBA6"/>
              <w:right w:val="single" w:sz="4" w:space="0" w:color="C9BBA6"/>
            </w:tcBorders>
          </w:tcPr>
          <w:p>
            <w:pPr>
              <w:spacing w:after="0"/>
            </w:pPr>
            <w:r>
              <w:rPr>
                <w:rFonts w:ascii="Aptos" w:hAnsi="Aptos" w:cs="Aptos" w:eastAsia="Aptos"/>
                <w:b w:val="0"/>
                <w:i/>
                <w:color w:val="7A6A55"/>
                <w:sz w:val="15"/>
              </w:rPr>
              <w:t>Entscheidungen und Lücken, die lange vorher entstanden</w:t>
            </w:r>
          </w:p>
        </w:tc>
      </w:tr>
    </w:tbl>
    <w:tbl>
      <w:tblPr>
        <w:tblW w:type="auto" w:w="0"/>
        <w:tblLayout w:type="fixed"/>
        <w:tblLook w:firstColumn="1" w:firstRow="1" w:lastColumn="0" w:lastRow="0" w:noHBand="0" w:noVBand="1" w:val="04A0"/>
      </w:tblPr>
      <w:tblGrid>
        <w:gridCol w:w="1928"/>
        <w:gridCol w:w="8277"/>
      </w:tblGrid>
      <w:tr>
        <w:trPr>
          <w:cantSplit w:val="true"/>
          <w:trHeight w:val="737" w:hRule="atLeast"/>
        </w:trPr>
        <w:tc>
          <w:tcPr>
            <w:tcW w:type="dxa" w:w="1928"/>
            <w:tcBorders>
              <w:top w:val="single" w:sz="4" w:space="0" w:color="C9BBA6"/>
              <w:left w:val="single" w:sz="4" w:space="0" w:color="C9BBA6"/>
              <w:bottom w:val="single" w:sz="4" w:space="0" w:color="C9BBA6"/>
              <w:right w:val="single" w:sz="4" w:space="0" w:color="C9BBA6"/>
            </w:tcBorders>
            <w:shd w:val="clear" w:color="auto" w:fill="EFE7DC"/>
          </w:tcPr>
          <w:p>
            <w:pPr>
              <w:spacing w:after="0"/>
            </w:pPr>
            <w:r>
              <w:rPr>
                <w:rFonts w:ascii="Aptos" w:hAnsi="Aptos" w:cs="Aptos" w:eastAsia="Aptos"/>
                <w:b/>
                <w:i w:val="0"/>
                <w:color w:val="8C5A2B"/>
                <w:sz w:val="18"/>
              </w:rPr>
              <w:t>6  Ersetzungstest</w:t>
            </w:r>
          </w:p>
        </w:tc>
        <w:tc>
          <w:tcPr>
            <w:tcW w:type="dxa" w:w="8277"/>
            <w:tcBorders>
              <w:top w:val="single" w:sz="4" w:space="0" w:color="C9BBA6"/>
              <w:left w:val="single" w:sz="4" w:space="0" w:color="C9BBA6"/>
              <w:bottom w:val="single" w:sz="4" w:space="0" w:color="C9BBA6"/>
              <w:right w:val="single" w:sz="4" w:space="0" w:color="C9BBA6"/>
            </w:tcBorders>
          </w:tcPr>
          <w:p>
            <w:pPr>
              <w:spacing w:after="0"/>
            </w:pPr>
            <w:r>
              <w:rPr>
                <w:rFonts w:ascii="Aptos" w:hAnsi="Aptos" w:cs="Aptos" w:eastAsia="Aptos"/>
                <w:b w:val="0"/>
                <w:i/>
                <w:color w:val="7A6A55"/>
                <w:sz w:val="15"/>
              </w:rPr>
              <w:t>Hätte es an diesem Tag, unter diesen Bedingungen, auch einer anderen Person passieren können?   ☐ ja (organisatorisch)   ☐ nein   Begründung:</w:t>
            </w:r>
          </w:p>
        </w:tc>
      </w:tr>
      <w:tr>
        <w:trPr>
          <w:cantSplit w:val="true"/>
          <w:trHeight w:val="567" w:hRule="atLeast"/>
        </w:trPr>
        <w:tc>
          <w:tcPr>
            <w:tcW w:type="dxa" w:w="1928"/>
            <w:tcBorders>
              <w:top w:val="single" w:sz="4" w:space="0" w:color="C9BBA6"/>
              <w:left w:val="single" w:sz="4" w:space="0" w:color="C9BBA6"/>
              <w:bottom w:val="single" w:sz="4" w:space="0" w:color="C9BBA6"/>
              <w:right w:val="single" w:sz="4" w:space="0" w:color="C9BBA6"/>
            </w:tcBorders>
            <w:shd w:val="clear" w:color="auto" w:fill="EFE7DC"/>
          </w:tcPr>
          <w:p>
            <w:pPr>
              <w:spacing w:after="0"/>
            </w:pPr>
            <w:r>
              <w:rPr>
                <w:rFonts w:ascii="Aptos" w:hAnsi="Aptos" w:cs="Aptos" w:eastAsia="Aptos"/>
                <w:b/>
                <w:i w:val="0"/>
                <w:color w:val="8C5A2B"/>
                <w:sz w:val="18"/>
              </w:rPr>
              <w:t>7  Gleichartige Stellen</w:t>
            </w:r>
          </w:p>
        </w:tc>
        <w:tc>
          <w:tcPr>
            <w:tcW w:type="dxa" w:w="8277"/>
            <w:tcBorders>
              <w:top w:val="single" w:sz="4" w:space="0" w:color="C9BBA6"/>
              <w:left w:val="single" w:sz="4" w:space="0" w:color="C9BBA6"/>
              <w:bottom w:val="single" w:sz="4" w:space="0" w:color="C9BBA6"/>
              <w:right w:val="single" w:sz="4" w:space="0" w:color="C9BBA6"/>
            </w:tcBorders>
          </w:tcPr>
          <w:p>
            <w:pPr>
              <w:spacing w:after="0"/>
            </w:pPr>
            <w:r>
              <w:rPr>
                <w:rFonts w:ascii="Aptos" w:hAnsi="Aptos" w:cs="Aptos" w:eastAsia="Aptos"/>
                <w:b w:val="0"/>
                <w:i/>
                <w:color w:val="7A6A55"/>
                <w:sz w:val="15"/>
              </w:rPr>
              <w:t>Wo besteht dasselbe im Haus noch?</w:t>
            </w:r>
          </w:p>
        </w:tc>
      </w:tr>
    </w:tbl>
    <w:tbl>
      <w:tblPr>
        <w:tblW w:type="auto" w:w="0"/>
        <w:tblLayout w:type="fixed"/>
        <w:tblLook w:firstColumn="1" w:firstRow="1" w:lastColumn="0" w:lastRow="0" w:noHBand="0" w:noVBand="1" w:val="04A0"/>
      </w:tblPr>
      <w:tblGrid>
        <w:gridCol w:w="1928"/>
        <w:gridCol w:w="3969"/>
        <w:gridCol w:w="1701"/>
        <w:gridCol w:w="1077"/>
        <w:gridCol w:w="1531"/>
      </w:tblGrid>
      <w:tr>
        <w:tc>
          <w:tcPr>
            <w:tcW w:type="dxa" w:w="1928"/>
            <w:shd w:val="clear" w:color="auto" w:fill="EFE7DC"/>
            <w:tcBorders>
              <w:top w:val="single" w:sz="4" w:space="0" w:color="C9BBA6"/>
              <w:left w:val="single" w:sz="4" w:space="0" w:color="C9BBA6"/>
              <w:bottom w:val="single" w:sz="4" w:space="0" w:color="C9BBA6"/>
              <w:right w:val="single" w:sz="4" w:space="0" w:color="C9BBA6"/>
            </w:tcBorders>
          </w:tcPr>
          <w:p>
            <w:pPr>
              <w:spacing w:after="0"/>
            </w:pPr>
            <w:r>
              <w:rPr>
                <w:rFonts w:ascii="Aptos" w:hAnsi="Aptos" w:cs="Aptos" w:eastAsia="Aptos"/>
                <w:b/>
                <w:i w:val="0"/>
                <w:color w:val="8C5A2B"/>
                <w:sz w:val="18"/>
              </w:rPr>
              <w:t>8  Maßnahmen – je Bedingung eine</w:t>
            </w:r>
          </w:p>
        </w:tc>
        <w:tc>
          <w:tcPr>
            <w:tcW w:type="dxa" w:w="3969"/>
            <w:shd w:val="clear" w:color="auto" w:fill="8C5A2B"/>
            <w:tcBorders>
              <w:top w:val="single" w:sz="4" w:space="0" w:color="C9BBA6"/>
              <w:left w:val="single" w:sz="4" w:space="0" w:color="C9BBA6"/>
              <w:bottom w:val="single" w:sz="4" w:space="0" w:color="C9BBA6"/>
              <w:right w:val="single" w:sz="4" w:space="0" w:color="C9BBA6"/>
            </w:tcBorders>
          </w:tcPr>
          <w:p>
            <w:pPr>
              <w:spacing w:after="0"/>
            </w:pPr>
            <w:r>
              <w:rPr>
                <w:rFonts w:ascii="Aptos" w:hAnsi="Aptos" w:cs="Aptos" w:eastAsia="Aptos"/>
                <w:b/>
                <w:i w:val="0"/>
                <w:color w:val="FFFFFF"/>
                <w:sz w:val="16"/>
              </w:rPr>
              <w:t>Maßnahme</w:t>
            </w:r>
          </w:p>
        </w:tc>
        <w:tc>
          <w:tcPr>
            <w:tcW w:type="dxa" w:w="1701"/>
            <w:shd w:val="clear" w:color="auto" w:fill="8C5A2B"/>
            <w:tcBorders>
              <w:top w:val="single" w:sz="4" w:space="0" w:color="C9BBA6"/>
              <w:left w:val="single" w:sz="4" w:space="0" w:color="C9BBA6"/>
              <w:bottom w:val="single" w:sz="4" w:space="0" w:color="C9BBA6"/>
              <w:right w:val="single" w:sz="4" w:space="0" w:color="C9BBA6"/>
            </w:tcBorders>
          </w:tcPr>
          <w:p>
            <w:pPr>
              <w:spacing w:after="0"/>
            </w:pPr>
            <w:r>
              <w:rPr>
                <w:rFonts w:ascii="Aptos" w:hAnsi="Aptos" w:cs="Aptos" w:eastAsia="Aptos"/>
                <w:b/>
                <w:i w:val="0"/>
                <w:color w:val="FFFFFF"/>
                <w:sz w:val="16"/>
              </w:rPr>
              <w:t>Stufe der Rangfolge</w:t>
            </w:r>
          </w:p>
        </w:tc>
        <w:tc>
          <w:tcPr>
            <w:tcW w:type="dxa" w:w="1077"/>
            <w:shd w:val="clear" w:color="auto" w:fill="8C5A2B"/>
            <w:tcBorders>
              <w:top w:val="single" w:sz="4" w:space="0" w:color="C9BBA6"/>
              <w:left w:val="single" w:sz="4" w:space="0" w:color="C9BBA6"/>
              <w:bottom w:val="single" w:sz="4" w:space="0" w:color="C9BBA6"/>
              <w:right w:val="single" w:sz="4" w:space="0" w:color="C9BBA6"/>
            </w:tcBorders>
          </w:tcPr>
          <w:p>
            <w:pPr>
              <w:spacing w:after="0"/>
            </w:pPr>
            <w:r>
              <w:rPr>
                <w:rFonts w:ascii="Aptos" w:hAnsi="Aptos" w:cs="Aptos" w:eastAsia="Aptos"/>
                <w:b/>
                <w:i w:val="0"/>
                <w:color w:val="FFFFFF"/>
                <w:sz w:val="16"/>
              </w:rPr>
              <w:t>Termin</w:t>
            </w:r>
          </w:p>
        </w:tc>
        <w:tc>
          <w:tcPr>
            <w:tcW w:type="dxa" w:w="1531"/>
            <w:shd w:val="clear" w:color="auto" w:fill="8C5A2B"/>
            <w:tcBorders>
              <w:top w:val="single" w:sz="4" w:space="0" w:color="C9BBA6"/>
              <w:left w:val="single" w:sz="4" w:space="0" w:color="C9BBA6"/>
              <w:bottom w:val="single" w:sz="4" w:space="0" w:color="C9BBA6"/>
              <w:right w:val="single" w:sz="4" w:space="0" w:color="C9BBA6"/>
            </w:tcBorders>
          </w:tcPr>
          <w:p>
            <w:pPr>
              <w:spacing w:after="0"/>
            </w:pPr>
            <w:r>
              <w:rPr>
                <w:rFonts w:ascii="Aptos" w:hAnsi="Aptos" w:cs="Aptos" w:eastAsia="Aptos"/>
                <w:b/>
                <w:i w:val="0"/>
                <w:color w:val="FFFFFF"/>
                <w:sz w:val="16"/>
              </w:rPr>
              <w:t>Verantwortlich</w:t>
            </w:r>
          </w:p>
        </w:tc>
      </w:tr>
      <w:tr>
        <w:trPr>
          <w:cantSplit w:val="true"/>
          <w:trHeight w:val="510" w:hRule="atLeast"/>
        </w:trPr>
        <w:tc>
          <w:tcPr>
            <w:tcW w:type="dxa" w:w="1928"/>
            <w:tcBorders>
              <w:top w:val="single" w:sz="4" w:space="0" w:color="C9BBA6"/>
              <w:left w:val="single" w:sz="4" w:space="0" w:color="C9BBA6"/>
              <w:bottom w:val="single" w:sz="4" w:space="0" w:color="C9BBA6"/>
              <w:right w:val="single" w:sz="4" w:space="0" w:color="C9BBA6"/>
            </w:tcBorders>
          </w:tcPr>
          <w:p>
            <w:pPr>
              <w:spacing w:after="0"/>
            </w:pPr>
            <w:r>
              <w:rPr>
                <w:rFonts w:ascii="Aptos" w:hAnsi="Aptos" w:cs="Aptos" w:eastAsia="Aptos"/>
                <w:b w:val="0"/>
                <w:i/>
                <w:color w:val="7A6A55"/>
                <w:sz w:val="15"/>
              </w:rPr>
              <w:t>Bedingung 1:</w:t>
            </w:r>
          </w:p>
        </w:tc>
        <w:tc>
          <w:tcPr>
            <w:tcW w:type="dxa" w:w="3969"/>
            <w:tcBorders>
              <w:top w:val="single" w:sz="4" w:space="0" w:color="C9BBA6"/>
              <w:left w:val="single" w:sz="4" w:space="0" w:color="C9BBA6"/>
              <w:bottom w:val="single" w:sz="4" w:space="0" w:color="C9BBA6"/>
              <w:right w:val="single" w:sz="4" w:space="0" w:color="C9BBA6"/>
            </w:tcBorders>
          </w:tcPr>
          <w:p>
            <w:pPr>
              <w:spacing w:after="0"/>
            </w:pPr>
          </w:p>
        </w:tc>
        <w:tc>
          <w:tcPr>
            <w:tcW w:type="dxa" w:w="1701"/>
            <w:tcBorders>
              <w:top w:val="single" w:sz="4" w:space="0" w:color="C9BBA6"/>
              <w:left w:val="single" w:sz="4" w:space="0" w:color="C9BBA6"/>
              <w:bottom w:val="single" w:sz="4" w:space="0" w:color="C9BBA6"/>
              <w:right w:val="single" w:sz="4" w:space="0" w:color="C9BBA6"/>
            </w:tcBorders>
          </w:tcPr>
          <w:p>
            <w:pPr>
              <w:spacing w:after="0"/>
            </w:pPr>
          </w:p>
        </w:tc>
        <w:tc>
          <w:tcPr>
            <w:tcW w:type="dxa" w:w="1077"/>
            <w:tcBorders>
              <w:top w:val="single" w:sz="4" w:space="0" w:color="C9BBA6"/>
              <w:left w:val="single" w:sz="4" w:space="0" w:color="C9BBA6"/>
              <w:bottom w:val="single" w:sz="4" w:space="0" w:color="C9BBA6"/>
              <w:right w:val="single" w:sz="4" w:space="0" w:color="C9BBA6"/>
            </w:tcBorders>
          </w:tcPr>
          <w:p>
            <w:pPr>
              <w:spacing w:after="0"/>
            </w:pPr>
          </w:p>
        </w:tc>
        <w:tc>
          <w:tcPr>
            <w:tcW w:type="dxa" w:w="1531"/>
            <w:tcBorders>
              <w:top w:val="single" w:sz="4" w:space="0" w:color="C9BBA6"/>
              <w:left w:val="single" w:sz="4" w:space="0" w:color="C9BBA6"/>
              <w:bottom w:val="single" w:sz="4" w:space="0" w:color="C9BBA6"/>
              <w:right w:val="single" w:sz="4" w:space="0" w:color="C9BBA6"/>
            </w:tcBorders>
          </w:tcPr>
          <w:p>
            <w:pPr>
              <w:spacing w:after="0"/>
            </w:pPr>
          </w:p>
        </w:tc>
      </w:tr>
      <w:tr>
        <w:trPr>
          <w:cantSplit w:val="true"/>
          <w:trHeight w:val="510" w:hRule="atLeast"/>
        </w:trPr>
        <w:tc>
          <w:tcPr>
            <w:tcW w:type="dxa" w:w="1928"/>
            <w:tcBorders>
              <w:top w:val="single" w:sz="4" w:space="0" w:color="C9BBA6"/>
              <w:left w:val="single" w:sz="4" w:space="0" w:color="C9BBA6"/>
              <w:bottom w:val="single" w:sz="4" w:space="0" w:color="C9BBA6"/>
              <w:right w:val="single" w:sz="4" w:space="0" w:color="C9BBA6"/>
            </w:tcBorders>
          </w:tcPr>
          <w:p>
            <w:pPr>
              <w:spacing w:after="0"/>
            </w:pPr>
            <w:r>
              <w:rPr>
                <w:rFonts w:ascii="Aptos" w:hAnsi="Aptos" w:cs="Aptos" w:eastAsia="Aptos"/>
                <w:b w:val="0"/>
                <w:i/>
                <w:color w:val="7A6A55"/>
                <w:sz w:val="15"/>
              </w:rPr>
              <w:t>Bedingung 2:</w:t>
            </w:r>
          </w:p>
        </w:tc>
        <w:tc>
          <w:tcPr>
            <w:tcW w:type="dxa" w:w="3969"/>
            <w:tcBorders>
              <w:top w:val="single" w:sz="4" w:space="0" w:color="C9BBA6"/>
              <w:left w:val="single" w:sz="4" w:space="0" w:color="C9BBA6"/>
              <w:bottom w:val="single" w:sz="4" w:space="0" w:color="C9BBA6"/>
              <w:right w:val="single" w:sz="4" w:space="0" w:color="C9BBA6"/>
            </w:tcBorders>
          </w:tcPr>
          <w:p>
            <w:pPr>
              <w:spacing w:after="0"/>
            </w:pPr>
          </w:p>
        </w:tc>
        <w:tc>
          <w:tcPr>
            <w:tcW w:type="dxa" w:w="1701"/>
            <w:tcBorders>
              <w:top w:val="single" w:sz="4" w:space="0" w:color="C9BBA6"/>
              <w:left w:val="single" w:sz="4" w:space="0" w:color="C9BBA6"/>
              <w:bottom w:val="single" w:sz="4" w:space="0" w:color="C9BBA6"/>
              <w:right w:val="single" w:sz="4" w:space="0" w:color="C9BBA6"/>
            </w:tcBorders>
          </w:tcPr>
          <w:p>
            <w:pPr>
              <w:spacing w:after="0"/>
            </w:pPr>
          </w:p>
        </w:tc>
        <w:tc>
          <w:tcPr>
            <w:tcW w:type="dxa" w:w="1077"/>
            <w:tcBorders>
              <w:top w:val="single" w:sz="4" w:space="0" w:color="C9BBA6"/>
              <w:left w:val="single" w:sz="4" w:space="0" w:color="C9BBA6"/>
              <w:bottom w:val="single" w:sz="4" w:space="0" w:color="C9BBA6"/>
              <w:right w:val="single" w:sz="4" w:space="0" w:color="C9BBA6"/>
            </w:tcBorders>
          </w:tcPr>
          <w:p>
            <w:pPr>
              <w:spacing w:after="0"/>
            </w:pPr>
          </w:p>
        </w:tc>
        <w:tc>
          <w:tcPr>
            <w:tcW w:type="dxa" w:w="1531"/>
            <w:tcBorders>
              <w:top w:val="single" w:sz="4" w:space="0" w:color="C9BBA6"/>
              <w:left w:val="single" w:sz="4" w:space="0" w:color="C9BBA6"/>
              <w:bottom w:val="single" w:sz="4" w:space="0" w:color="C9BBA6"/>
              <w:right w:val="single" w:sz="4" w:space="0" w:color="C9BBA6"/>
            </w:tcBorders>
          </w:tcPr>
          <w:p>
            <w:pPr>
              <w:spacing w:after="0"/>
            </w:pPr>
          </w:p>
        </w:tc>
      </w:tr>
      <w:tr>
        <w:trPr>
          <w:cantSplit w:val="true"/>
          <w:trHeight w:val="510" w:hRule="atLeast"/>
        </w:trPr>
        <w:tc>
          <w:tcPr>
            <w:tcW w:type="dxa" w:w="1928"/>
            <w:tcBorders>
              <w:top w:val="single" w:sz="4" w:space="0" w:color="C9BBA6"/>
              <w:left w:val="single" w:sz="4" w:space="0" w:color="C9BBA6"/>
              <w:bottom w:val="single" w:sz="4" w:space="0" w:color="C9BBA6"/>
              <w:right w:val="single" w:sz="4" w:space="0" w:color="C9BBA6"/>
            </w:tcBorders>
          </w:tcPr>
          <w:p>
            <w:pPr>
              <w:spacing w:after="0"/>
            </w:pPr>
            <w:r>
              <w:rPr>
                <w:rFonts w:ascii="Aptos" w:hAnsi="Aptos" w:cs="Aptos" w:eastAsia="Aptos"/>
                <w:b w:val="0"/>
                <w:i/>
                <w:color w:val="7A6A55"/>
                <w:sz w:val="15"/>
              </w:rPr>
              <w:t>Bedingung 3:</w:t>
            </w:r>
          </w:p>
        </w:tc>
        <w:tc>
          <w:tcPr>
            <w:tcW w:type="dxa" w:w="3969"/>
            <w:tcBorders>
              <w:top w:val="single" w:sz="4" w:space="0" w:color="C9BBA6"/>
              <w:left w:val="single" w:sz="4" w:space="0" w:color="C9BBA6"/>
              <w:bottom w:val="single" w:sz="4" w:space="0" w:color="C9BBA6"/>
              <w:right w:val="single" w:sz="4" w:space="0" w:color="C9BBA6"/>
            </w:tcBorders>
          </w:tcPr>
          <w:p>
            <w:pPr>
              <w:spacing w:after="0"/>
            </w:pPr>
          </w:p>
        </w:tc>
        <w:tc>
          <w:tcPr>
            <w:tcW w:type="dxa" w:w="1701"/>
            <w:tcBorders>
              <w:top w:val="single" w:sz="4" w:space="0" w:color="C9BBA6"/>
              <w:left w:val="single" w:sz="4" w:space="0" w:color="C9BBA6"/>
              <w:bottom w:val="single" w:sz="4" w:space="0" w:color="C9BBA6"/>
              <w:right w:val="single" w:sz="4" w:space="0" w:color="C9BBA6"/>
            </w:tcBorders>
          </w:tcPr>
          <w:p>
            <w:pPr>
              <w:spacing w:after="0"/>
            </w:pPr>
          </w:p>
        </w:tc>
        <w:tc>
          <w:tcPr>
            <w:tcW w:type="dxa" w:w="1077"/>
            <w:tcBorders>
              <w:top w:val="single" w:sz="4" w:space="0" w:color="C9BBA6"/>
              <w:left w:val="single" w:sz="4" w:space="0" w:color="C9BBA6"/>
              <w:bottom w:val="single" w:sz="4" w:space="0" w:color="C9BBA6"/>
              <w:right w:val="single" w:sz="4" w:space="0" w:color="C9BBA6"/>
            </w:tcBorders>
          </w:tcPr>
          <w:p>
            <w:pPr>
              <w:spacing w:after="0"/>
            </w:pPr>
          </w:p>
        </w:tc>
        <w:tc>
          <w:tcPr>
            <w:tcW w:type="dxa" w:w="1531"/>
            <w:tcBorders>
              <w:top w:val="single" w:sz="4" w:space="0" w:color="C9BBA6"/>
              <w:left w:val="single" w:sz="4" w:space="0" w:color="C9BBA6"/>
              <w:bottom w:val="single" w:sz="4" w:space="0" w:color="C9BBA6"/>
              <w:right w:val="single" w:sz="4" w:space="0" w:color="C9BBA6"/>
            </w:tcBorders>
          </w:tcPr>
          <w:p>
            <w:pPr>
              <w:spacing w:after="0"/>
            </w:pPr>
          </w:p>
        </w:tc>
      </w:tr>
    </w:tbl>
    <w:tbl>
      <w:tblPr>
        <w:tblW w:type="auto" w:w="0"/>
        <w:tblLayout w:type="fixed"/>
        <w:tblLook w:firstColumn="1" w:firstRow="1" w:lastColumn="0" w:lastRow="0" w:noHBand="0" w:noVBand="1" w:val="04A0"/>
      </w:tblPr>
      <w:tblGrid>
        <w:gridCol w:w="1928"/>
        <w:gridCol w:w="8277"/>
      </w:tblGrid>
      <w:tr>
        <w:trPr>
          <w:trHeight w:val="538" w:hRule="atLeast"/>
        </w:trPr>
        <w:tc>
          <w:tcPr>
            <w:tcW w:type="dxa" w:w="1928"/>
            <w:tcBorders>
              <w:top w:val="single" w:sz="4" w:space="0" w:color="C9BBA6"/>
              <w:left w:val="single" w:sz="4" w:space="0" w:color="C9BBA6"/>
              <w:bottom w:val="single" w:sz="4" w:space="0" w:color="C9BBA6"/>
              <w:right w:val="single" w:sz="4" w:space="0" w:color="C9BBA6"/>
            </w:tcBorders>
            <w:shd w:val="clear" w:color="auto" w:fill="EFE7DC"/>
          </w:tcPr>
          <w:p>
            <w:pPr>
              <w:spacing w:after="0"/>
            </w:pPr>
            <w:r>
              <w:rPr>
                <w:rFonts w:ascii="Aptos" w:hAnsi="Aptos" w:cs="Aptos" w:eastAsia="Aptos"/>
                <w:b/>
                <w:i w:val="0"/>
                <w:color w:val="8C5A2B"/>
                <w:sz w:val="18"/>
              </w:rPr>
              <w:t>9  Rückfluss</w:t>
            </w:r>
          </w:p>
        </w:tc>
        <w:tc>
          <w:tcPr>
            <w:tcW w:type="dxa" w:w="8277"/>
            <w:tcBorders>
              <w:top w:val="single" w:sz="4" w:space="0" w:color="C9BBA6"/>
              <w:left w:val="single" w:sz="4" w:space="0" w:color="C9BBA6"/>
              <w:bottom w:val="single" w:sz="4" w:space="0" w:color="C9BBA6"/>
              <w:right w:val="single" w:sz="4" w:space="0" w:color="C9BBA6"/>
            </w:tcBorders>
          </w:tcPr>
          <w:p>
            <w:pPr>
              <w:spacing w:after="0"/>
            </w:pPr>
            <w:r>
              <w:rPr>
                <w:rFonts w:ascii="Aptos" w:hAnsi="Aptos" w:cs="Aptos" w:eastAsia="Aptos"/>
                <w:b w:val="0"/>
                <w:i w:val="0"/>
                <w:sz w:val="17"/>
              </w:rPr>
              <w:t>Was ändert sich in …   ☐ der Gefährdungsbeurteilung   ☐ der Unterweisung   ☐ der Beschaffung   ☐ nichts, weil: ____________________</w:t>
            </w:r>
          </w:p>
        </w:tc>
      </w:tr>
      <w:tr>
        <w:trPr>
          <w:trHeight w:val="538" w:hRule="atLeast"/>
        </w:trPr>
        <w:tc>
          <w:tcPr>
            <w:tcW w:type="dxa" w:w="1928"/>
            <w:tcBorders>
              <w:top w:val="single" w:sz="4" w:space="0" w:color="C9BBA6"/>
              <w:left w:val="single" w:sz="4" w:space="0" w:color="C9BBA6"/>
              <w:bottom w:val="single" w:sz="4" w:space="0" w:color="C9BBA6"/>
              <w:right w:val="single" w:sz="4" w:space="0" w:color="C9BBA6"/>
            </w:tcBorders>
            <w:shd w:val="clear" w:color="auto" w:fill="EFE7DC"/>
          </w:tcPr>
          <w:p>
            <w:pPr>
              <w:spacing w:after="0"/>
            </w:pPr>
            <w:r>
              <w:rPr>
                <w:rFonts w:ascii="Aptos" w:hAnsi="Aptos" w:cs="Aptos" w:eastAsia="Aptos"/>
                <w:b/>
                <w:i w:val="0"/>
                <w:color w:val="8C5A2B"/>
                <w:sz w:val="18"/>
              </w:rPr>
              <w:t>10  Mitteilung</w:t>
            </w:r>
          </w:p>
        </w:tc>
        <w:tc>
          <w:tcPr>
            <w:tcW w:type="dxa" w:w="8277"/>
            <w:tcBorders>
              <w:top w:val="single" w:sz="4" w:space="0" w:color="C9BBA6"/>
              <w:left w:val="single" w:sz="4" w:space="0" w:color="C9BBA6"/>
              <w:bottom w:val="single" w:sz="4" w:space="0" w:color="C9BBA6"/>
              <w:right w:val="single" w:sz="4" w:space="0" w:color="C9BBA6"/>
            </w:tcBorders>
          </w:tcPr>
          <w:p>
            <w:pPr>
              <w:spacing w:after="0"/>
            </w:pPr>
            <w:r>
              <w:rPr>
                <w:rFonts w:ascii="Aptos" w:hAnsi="Aptos" w:cs="Aptos" w:eastAsia="Aptos"/>
                <w:b w:val="0"/>
                <w:i w:val="0"/>
                <w:sz w:val="17"/>
              </w:rPr>
              <w:t>Wer wird informiert?   ☐ Bereich   ☐ Vertretung   ☐ Belegschaft   – Rückmeldung an die meldende Person binnen einer Woche   ☐</w:t>
            </w:r>
          </w:p>
        </w:tc>
      </w:tr>
    </w:tbl>
    <w:p>
      <w:pPr>
        <w:spacing w:after="0"/>
      </w:pPr>
      <w:r>
        <w:rPr>
          <w:rFonts w:ascii="Aptos" w:hAnsi="Aptos" w:cs="Aptos" w:eastAsia="Aptos"/>
          <w:b w:val="0"/>
          <w:i/>
          <w:color w:val="7A6A55"/>
          <w:sz w:val="15"/>
        </w:rPr>
        <w:t>Bezug nach Abschnitt 3.12: Zeitachse und Bedingungen · Rückfluss in die Gefährdungsbeurteilung (Klausel 6.1.2.1) · Untersuchung, Ursachen, ähnliche Vorfälle und Beteiligung der Beschäftigten (Klausel 10.2) · Mitteilung an Beschäftigte und Vertreter (10.2). Keine Diagnose eintragen.</w:t>
      </w:r>
    </w:p>
    <w:p>
      <w:pPr>
        <w:keepNext/>
        <w:pageBreakBefore/>
        <w:spacing w:before="280" w:after="80"/>
        <w:pBdr>
          <w:bottom w:val="single" w:sz="6" w:space="2" w:color="C9BBA6"/>
        </w:pBdr>
      </w:pPr>
      <w:r>
        <w:rPr>
          <w:rFonts w:ascii="Aptos" w:hAnsi="Aptos" w:cs="Aptos" w:eastAsia="Aptos"/>
          <w:b/>
          <w:color w:val="8C5A2B"/>
          <w:sz w:val="28"/>
        </w:rPr>
        <w:t>Leitfaden zum Bogen</w:t>
      </w:r>
    </w:p>
    <w:p>
      <w:pPr>
        <w:spacing w:after="40"/>
      </w:pPr>
      <w:r>
        <w:rPr>
          <w:rFonts w:ascii="Aptos" w:hAnsi="Aptos" w:cs="Aptos" w:eastAsia="Aptos"/>
          <w:b w:val="0"/>
          <w:i/>
          <w:color w:val="7A6A55"/>
          <w:sz w:val="18"/>
        </w:rPr>
        <w:t>Vorlage zu Abschnitt 3.12 des Bandes 3b. Ein Denkgerüst, kein Formular zum Ausfüllen und Ablegen.</w:t>
      </w:r>
    </w:p>
    <w:p>
      <w:pPr>
        <w:keepNext/>
        <w:spacing w:before="160" w:after="60"/>
      </w:pPr>
      <w:r>
        <w:rPr>
          <w:rFonts w:ascii="Aptos" w:hAnsi="Aptos" w:cs="Aptos" w:eastAsia="Aptos"/>
          <w:b/>
          <w:color w:val="8C5A2B"/>
          <w:sz w:val="23"/>
        </w:rPr>
        <w:t>Drei Grundsätze</w:t>
      </w:r>
    </w:p>
    <w:p>
      <w:pPr>
        <w:spacing w:after="50"/>
        <w:ind w:left="340" w:hanging="227"/>
      </w:pPr>
      <w:r>
        <w:rPr>
          <w:rFonts w:ascii="Aptos" w:hAnsi="Aptos" w:cs="Aptos" w:eastAsia="Aptos"/>
          <w:b/>
          <w:i w:val="0"/>
          <w:color w:val="8C5A2B"/>
        </w:rPr>
        <w:t xml:space="preserve">•  </w:t>
      </w:r>
      <w:r>
        <w:rPr>
          <w:rFonts w:ascii="Aptos" w:hAnsi="Aptos" w:cs="Aptos" w:eastAsia="Aptos"/>
          <w:b/>
          <w:i w:val="0"/>
        </w:rPr>
        <w:t xml:space="preserve">Fakten vor Bewertung. </w:t>
      </w:r>
      <w:r>
        <w:rPr>
          <w:rFonts w:ascii="Aptos" w:hAnsi="Aptos" w:cs="Aptos" w:eastAsia="Aptos"/>
          <w:b w:val="0"/>
          <w:i w:val="0"/>
        </w:rPr>
        <w:t>Es wird zuerst erhoben, dann bewertet. Die Zeitachse steht ohne jede Bewertung vor den Bedingungen.</w:t>
      </w:r>
    </w:p>
    <w:p>
      <w:pPr>
        <w:spacing w:after="50"/>
        <w:ind w:left="340" w:hanging="227"/>
      </w:pPr>
      <w:r>
        <w:rPr>
          <w:rFonts w:ascii="Aptos" w:hAnsi="Aptos" w:cs="Aptos" w:eastAsia="Aptos"/>
          <w:b/>
          <w:i w:val="0"/>
          <w:color w:val="8C5A2B"/>
        </w:rPr>
        <w:t xml:space="preserve">•  </w:t>
      </w:r>
      <w:r>
        <w:rPr>
          <w:rFonts w:ascii="Aptos" w:hAnsi="Aptos" w:cs="Aptos" w:eastAsia="Aptos"/>
          <w:b/>
          <w:i w:val="0"/>
        </w:rPr>
        <w:t xml:space="preserve">Getrennte Verfahren. </w:t>
      </w:r>
      <w:r>
        <w:rPr>
          <w:rFonts w:ascii="Aptos" w:hAnsi="Aptos" w:cs="Aptos" w:eastAsia="Aptos"/>
          <w:b w:val="0"/>
          <w:i w:val="0"/>
        </w:rPr>
        <w:t>Untersuchung und Personalgespräch sind zwei Verfahren mit getrennten Anlässen, Personen und Unterlagen. Der seltene Fall bewusster, wiederholter Missachtung trotz vorhandener und praktikabler Mittel gehört in ein Personalverfahren. Untersucht nicht der Vorgesetzte der betroffenen Person: Die Untersuchung müsste zu ihm führen.</w:t>
      </w:r>
    </w:p>
    <w:p>
      <w:pPr>
        <w:spacing w:after="50"/>
        <w:ind w:left="340" w:hanging="227"/>
      </w:pPr>
      <w:r>
        <w:rPr>
          <w:rFonts w:ascii="Aptos" w:hAnsi="Aptos" w:cs="Aptos" w:eastAsia="Aptos"/>
          <w:b/>
          <w:i w:val="0"/>
          <w:color w:val="8C5A2B"/>
        </w:rPr>
        <w:t xml:space="preserve">•  </w:t>
      </w:r>
      <w:r>
        <w:rPr>
          <w:rFonts w:ascii="Aptos" w:hAnsi="Aptos" w:cs="Aptos" w:eastAsia="Aptos"/>
          <w:b/>
          <w:i w:val="0"/>
        </w:rPr>
        <w:t xml:space="preserve">Barriere statt Fehler. </w:t>
      </w:r>
      <w:r>
        <w:rPr>
          <w:rFonts w:ascii="Aptos" w:hAnsi="Aptos" w:cs="Aptos" w:eastAsia="Aptos"/>
          <w:b w:val="0"/>
          <w:i w:val="0"/>
        </w:rPr>
        <w:t>Gesucht wird die fehlende Barriere, nicht der Fehler. Der Ersetzungstest (Block 6) entscheidet: Lautet die Antwort ja, ist der Fall organisatorisch und nicht persönlich.</w:t>
      </w:r>
    </w:p>
    <w:p>
      <w:pPr>
        <w:spacing w:after="40"/>
      </w:pPr>
      <w:r>
        <w:rPr>
          <w:rFonts w:ascii="Aptos" w:hAnsi="Aptos" w:cs="Aptos" w:eastAsia="Aptos"/>
          <w:b w:val="0"/>
          <w:i w:val="0"/>
          <w:sz w:val="18"/>
        </w:rPr>
        <w:t>«Unachtsamkeit» verdeckt drei verschiedene Sachverhalte, bevor sie als Wort geschrieben wird: eine fehlende Bedingung (Beschaffung), zwei Anforderungen im Widerstreit oder eine nicht erfüllbare Anforderung (Ablauf, Wegeführung, Instandhaltung) – oder wirklich einen Moment der Ablenkung. Dann gilt die Frage nach der Fehlertoleranz: Was passiert, WENN jemand kurz unaufmerksam ist?</w:t>
      </w:r>
    </w:p>
    <w:p>
      <w:pPr>
        <w:keepNext/>
        <w:spacing w:before="160" w:after="60"/>
      </w:pPr>
      <w:r>
        <w:rPr>
          <w:rFonts w:ascii="Aptos" w:hAnsi="Aptos" w:cs="Aptos" w:eastAsia="Aptos"/>
          <w:b/>
          <w:color w:val="8C5A2B"/>
          <w:sz w:val="23"/>
        </w:rPr>
        <w:t>Die drei Ebenen der Bedingungen (Block 5)</w:t>
      </w:r>
    </w:p>
    <w:tbl>
      <w:tblPr>
        <w:tblW w:type="auto" w:w="0"/>
        <w:jc w:val="center"/>
        <w:tblLayout w:type="fixed"/>
        <w:tblLook w:firstColumn="1" w:firstRow="1" w:lastColumn="0" w:lastRow="0" w:noHBand="0" w:noVBand="1" w:val="04A0"/>
      </w:tblPr>
      <w:tblGrid>
        <w:gridCol w:w="3402"/>
        <w:gridCol w:w="3402"/>
        <w:gridCol w:w="3402"/>
      </w:tblGrid>
      <w:tr>
        <w:trPr>
          <w:tblHeader w:val="true"/>
        </w:trPr>
        <w:tc>
          <w:tcPr>
            <w:tcW w:type="dxa" w:w="130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6"/>
              </w:rPr>
              <w:t>Ebene</w:t>
            </w:r>
          </w:p>
        </w:tc>
        <w:tc>
          <w:tcPr>
            <w:tcW w:type="dxa" w:w="294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6"/>
              </w:rPr>
              <w:t>Was sie beschreibt</w:t>
            </w:r>
          </w:p>
        </w:tc>
        <w:tc>
          <w:tcPr>
            <w:tcW w:type="dxa" w:w="5669"/>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6"/>
              </w:rPr>
              <w:t>Beispiel aus dem Band («Beispiel», Linz)</w:t>
            </w:r>
          </w:p>
        </w:tc>
      </w:tr>
      <w:tr>
        <w:trPr>
          <w:cantSplit w:val="true"/>
        </w:trPr>
        <w:tc>
          <w:tcPr>
            <w:tcW w:type="dxa" w:w="130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6"/>
              </w:rPr>
              <w:t>Unmittelbar</w:t>
            </w:r>
          </w:p>
        </w:tc>
        <w:tc>
          <w:tcPr>
            <w:tcW w:type="dxa" w:w="294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6"/>
              </w:rPr>
              <w:t>Was am Ort und im Moment vorlag</w:t>
            </w:r>
          </w:p>
        </w:tc>
        <w:tc>
          <w:tcPr>
            <w:tcW w:type="dxa" w:w="566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6"/>
              </w:rPr>
              <w:t>Feuchte Fläche, keine Matte, beide Hände belegt, eigene Schuhe</w:t>
            </w:r>
          </w:p>
        </w:tc>
      </w:tr>
      <w:tr>
        <w:trPr>
          <w:cantSplit w:val="true"/>
        </w:trPr>
        <w:tc>
          <w:tcPr>
            <w:tcW w:type="dxa" w:w="1304"/>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6"/>
              </w:rPr>
              <w:t>Beitragend</w:t>
            </w:r>
          </w:p>
        </w:tc>
        <w:tc>
          <w:tcPr>
            <w:tcW w:type="dxa" w:w="294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6"/>
              </w:rPr>
              <w:t>Warum der Ort so war</w:t>
            </w:r>
          </w:p>
        </w:tc>
        <w:tc>
          <w:tcPr>
            <w:tcW w:type="dxa" w:w="5669"/>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6"/>
              </w:rPr>
              <w:t>Palette im Weg, Maschine tropft, Umweg nötig</w:t>
            </w:r>
          </w:p>
        </w:tc>
      </w:tr>
      <w:tr>
        <w:trPr>
          <w:cantSplit w:val="true"/>
        </w:trPr>
        <w:tc>
          <w:tcPr>
            <w:tcW w:type="dxa" w:w="130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6"/>
              </w:rPr>
              <w:t>Latent</w:t>
            </w:r>
          </w:p>
        </w:tc>
        <w:tc>
          <w:tcPr>
            <w:tcW w:type="dxa" w:w="294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6"/>
              </w:rPr>
              <w:t>Entscheidungen und Lücken, die lange vorher entstanden</w:t>
            </w:r>
          </w:p>
        </w:tc>
        <w:tc>
          <w:tcPr>
            <w:tcW w:type="dxa" w:w="566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6"/>
              </w:rPr>
              <w:t>Lagertür seit drei Wochen defekt, Matte nicht ersetzt, Meldeweg für Kleinstörungen funktioniert nicht</w:t>
            </w:r>
          </w:p>
        </w:tc>
      </w:tr>
    </w:tbl>
    <w:p>
      <w:pPr>
        <w:spacing w:after="20"/>
      </w:pPr>
      <w:r>
        <w:rPr>
          <w:rFonts w:ascii="Aptos" w:hAnsi="Aptos" w:cs="Aptos" w:eastAsia="Aptos"/>
          <w:b w:val="0"/>
          <w:i w:val="0"/>
          <w:sz w:val="18"/>
        </w:rPr>
        <w:t>Latente Bedingungen sind die Ursache der nächsten Ereignisse. Je Bedingung eine Maßnahme, nach der Rangfolge (3.11).</w:t>
      </w:r>
    </w:p>
    <w:p>
      <w:pPr>
        <w:keepNext/>
        <w:spacing w:before="160" w:after="60"/>
      </w:pPr>
      <w:r>
        <w:rPr>
          <w:rFonts w:ascii="Aptos" w:hAnsi="Aptos" w:cs="Aptos" w:eastAsia="Aptos"/>
          <w:b/>
          <w:color w:val="8C5A2B"/>
          <w:sz w:val="23"/>
        </w:rPr>
        <w:t>Wann untersucht wird – und wie tief (schriftlich festlegen, bevor der erste Fall eintritt; Maßstab ist der mögliche Schaden)</w:t>
      </w:r>
    </w:p>
    <w:tbl>
      <w:tblPr>
        <w:tblW w:type="auto" w:w="0"/>
        <w:jc w:val="center"/>
        <w:tblLayout w:type="fixed"/>
        <w:tblLook w:firstColumn="1" w:firstRow="1" w:lastColumn="0" w:lastRow="0" w:noHBand="0" w:noVBand="1" w:val="04A0"/>
      </w:tblPr>
      <w:tblGrid>
        <w:gridCol w:w="3402"/>
        <w:gridCol w:w="3402"/>
        <w:gridCol w:w="3402"/>
      </w:tblGrid>
      <w:tr>
        <w:trPr>
          <w:tblHeader w:val="true"/>
        </w:trPr>
        <w:tc>
          <w:tcPr>
            <w:tcW w:type="dxa" w:w="2835"/>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6"/>
              </w:rPr>
              <w:t>Anlass</w:t>
            </w:r>
          </w:p>
        </w:tc>
        <w:tc>
          <w:tcPr>
            <w:tcW w:type="dxa" w:w="3969"/>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6"/>
              </w:rPr>
              <w:t>Tiefe der Untersuchung</w:t>
            </w:r>
          </w:p>
        </w:tc>
        <w:tc>
          <w:tcPr>
            <w:tcW w:type="dxa" w:w="311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6"/>
              </w:rPr>
              <w:t>Wer</w:t>
            </w:r>
          </w:p>
        </w:tc>
      </w:tr>
      <w:tr>
        <w:trPr>
          <w:cantSplit w:val="true"/>
        </w:trPr>
        <w:tc>
          <w:tcPr>
            <w:tcW w:type="dxa" w:w="28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6"/>
              </w:rPr>
              <w:t>Tödliches oder schweres Ereignis</w:t>
            </w:r>
          </w:p>
        </w:tc>
        <w:tc>
          <w:tcPr>
            <w:tcW w:type="dxa" w:w="396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6"/>
              </w:rPr>
              <w:t>Vollständig, mit externer Unterstützung, Behörde eingebunden</w:t>
            </w:r>
          </w:p>
        </w:tc>
        <w:tc>
          <w:tcPr>
            <w:tcW w:type="dxa" w:w="311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6"/>
              </w:rPr>
              <w:t>Leitung, Fachkraft, Vertretung, gegebenenfalls Externe</w:t>
            </w:r>
          </w:p>
        </w:tc>
      </w:tr>
      <w:tr>
        <w:trPr>
          <w:cantSplit w:val="true"/>
        </w:trPr>
        <w:tc>
          <w:tcPr>
            <w:tcW w:type="dxa" w:w="283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6"/>
              </w:rPr>
              <w:t>Unfall mit Arbeitsunfähigkeit</w:t>
            </w:r>
          </w:p>
        </w:tc>
        <w:tc>
          <w:tcPr>
            <w:tcW w:type="dxa" w:w="3969"/>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6"/>
              </w:rPr>
              <w:t>Vollständiger Bogen, alle drei Bedingungsebenen</w:t>
            </w:r>
          </w:p>
        </w:tc>
        <w:tc>
          <w:tcPr>
            <w:tcW w:type="dxa" w:w="311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6"/>
              </w:rPr>
              <w:t>Person aus anderem Bereich, mit Vertretung und Betroffenem</w:t>
            </w:r>
          </w:p>
        </w:tc>
      </w:tr>
      <w:tr>
        <w:trPr>
          <w:cantSplit w:val="true"/>
        </w:trPr>
        <w:tc>
          <w:tcPr>
            <w:tcW w:type="dxa" w:w="28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6"/>
              </w:rPr>
              <w:t>Verletzung ohne Ausfall</w:t>
            </w:r>
          </w:p>
        </w:tc>
        <w:tc>
          <w:tcPr>
            <w:tcW w:type="dxa" w:w="396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6"/>
              </w:rPr>
              <w:t>Kurzform: Zeitachse, Bedingungen, Ersetzungstest</w:t>
            </w:r>
          </w:p>
        </w:tc>
        <w:tc>
          <w:tcPr>
            <w:tcW w:type="dxa" w:w="311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6"/>
              </w:rPr>
              <w:t>Bereichsleitung, gegengelesen</w:t>
            </w:r>
          </w:p>
        </w:tc>
      </w:tr>
      <w:tr>
        <w:trPr>
          <w:cantSplit w:val="true"/>
        </w:trPr>
        <w:tc>
          <w:tcPr>
            <w:tcW w:type="dxa" w:w="283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6"/>
              </w:rPr>
              <w:t>Beinaheunfall mit möglicher schwerer Folge</w:t>
            </w:r>
          </w:p>
        </w:tc>
        <w:tc>
          <w:tcPr>
            <w:tcW w:type="dxa" w:w="3969"/>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6"/>
              </w:rPr>
              <w:t>Wie ein Unfall mit Ausfallzeit – die Folge ist der Maßstab</w:t>
            </w:r>
          </w:p>
        </w:tc>
        <w:tc>
          <w:tcPr>
            <w:tcW w:type="dxa" w:w="311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6"/>
              </w:rPr>
              <w:t>wie oben</w:t>
            </w:r>
          </w:p>
        </w:tc>
      </w:tr>
      <w:tr>
        <w:trPr>
          <w:cantSplit w:val="true"/>
        </w:trPr>
        <w:tc>
          <w:tcPr>
            <w:tcW w:type="dxa" w:w="2835"/>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6"/>
              </w:rPr>
              <w:t>Beinaheunfall geringer Tragweite</w:t>
            </w:r>
          </w:p>
        </w:tc>
        <w:tc>
          <w:tcPr>
            <w:tcW w:type="dxa" w:w="396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6"/>
              </w:rPr>
              <w:t>Meldung, Sammlung, Auswertung im Quartal</w:t>
            </w:r>
          </w:p>
        </w:tc>
        <w:tc>
          <w:tcPr>
            <w:tcW w:type="dxa" w:w="311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6"/>
              </w:rPr>
              <w:t>Bereich</w:t>
            </w:r>
          </w:p>
        </w:tc>
      </w:tr>
      <w:tr>
        <w:trPr>
          <w:cantSplit w:val="true"/>
        </w:trPr>
        <w:tc>
          <w:tcPr>
            <w:tcW w:type="dxa" w:w="2835"/>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6"/>
              </w:rPr>
              <w:t>Sachschaden ohne Personenbezug</w:t>
            </w:r>
          </w:p>
        </w:tc>
        <w:tc>
          <w:tcPr>
            <w:tcW w:type="dxa" w:w="3969"/>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6"/>
              </w:rPr>
              <w:t>Kurzform, wenn eine Personengefährdung denkbar war</w:t>
            </w:r>
          </w:p>
        </w:tc>
        <w:tc>
          <w:tcPr>
            <w:tcW w:type="dxa" w:w="3118"/>
            <w:tcBorders>
              <w:top w:val="single" w:sz="4" w:space="0" w:color="C9BBA6"/>
              <w:left w:val="single" w:sz="4" w:space="0" w:color="C9BBA6"/>
              <w:bottom w:val="single" w:sz="4" w:space="0" w:color="C9BBA6"/>
              <w:right w:val="single" w:sz="4" w:space="0" w:color="C9BBA6"/>
            </w:tcBorders>
            <w:shd w:val="clear" w:color="auto" w:fill="F7F2EA"/>
          </w:tcPr>
          <w:p>
            <w:pPr>
              <w:spacing w:after="20"/>
            </w:pPr>
            <w:r>
              <w:rPr>
                <w:rFonts w:ascii="Aptos" w:hAnsi="Aptos" w:cs="Aptos" w:eastAsia="Aptos"/>
                <w:b w:val="0"/>
                <w:i w:val="0"/>
                <w:sz w:val="16"/>
              </w:rPr>
              <w:t>Bereich mit Haustechnik</w:t>
            </w:r>
          </w:p>
        </w:tc>
      </w:tr>
    </w:tbl>
    <w:p>
      <w:pPr>
        <w:keepNext/>
        <w:spacing w:before="160" w:after="60"/>
      </w:pPr>
      <w:r>
        <w:rPr>
          <w:rFonts w:ascii="Aptos" w:hAnsi="Aptos" w:cs="Aptos" w:eastAsia="Aptos"/>
          <w:b/>
          <w:color w:val="8C5A2B"/>
          <w:sz w:val="23"/>
        </w:rPr>
        <w:t>Das Gespräch mit der betroffenen Person</w:t>
      </w:r>
    </w:p>
    <w:p>
      <w:pPr>
        <w:spacing w:after="40"/>
      </w:pPr>
      <w:r>
        <w:rPr>
          <w:rFonts w:ascii="Aptos" w:hAnsi="Aptos" w:cs="Aptos" w:eastAsia="Aptos"/>
          <w:b w:val="0"/>
          <w:i w:val="0"/>
          <w:sz w:val="18"/>
        </w:rPr>
        <w:t>Zeitpunkt: nicht am Unfalltag und nicht, solange Schmerzen oder Schrecken im Vordergrund stehen. Ort: nicht im Direktionsbüro, sondern am Arbeitsplatz oder an einem neutralen Ort. Eröffnung: «Ich will verstehen, was der Betrieb hätte anders machen müssen, nicht was Sie falsch gemacht haben.» Begleitung: Die Person darf jemanden dabeihaben; wo eine Vertretung besteht, ist sie einzubeziehen.</w:t>
      </w:r>
    </w:p>
    <w:p>
      <w:pPr>
        <w:spacing w:after="40"/>
      </w:pPr>
      <w:r>
        <w:rPr>
          <w:rFonts w:ascii="Aptos" w:hAnsi="Aptos" w:cs="Aptos" w:eastAsia="Aptos"/>
          <w:b w:val="0"/>
          <w:i w:val="0"/>
          <w:sz w:val="18"/>
        </w:rPr>
        <w:t>Fragen in dieser Reihenfolge: «Erzählen Sie mir den Vormittag, von Beginn der Schicht an.» – «Was war an dem Tag anders als sonst?» – «Was hätte es verhindert?» Die Frage nach dem Verschulden kommt in diesem Gespräch nicht vor.</w:t>
      </w:r>
    </w:p>
    <w:p>
      <w:pPr>
        <w:spacing w:after="40"/>
      </w:pPr>
      <w:r>
        <w:rPr>
          <w:rFonts w:ascii="Aptos" w:hAnsi="Aptos" w:cs="Aptos" w:eastAsia="Aptos"/>
          <w:b w:val="0"/>
          <w:i w:val="0"/>
          <w:sz w:val="18"/>
        </w:rPr>
        <w:t>Nach der Untersuchung: Rückfluss in die Gefährdungsbeurteilung (6.1.2.1) – sonst bleibt es eine Akte; Mitteilung an Beschäftigte und Vertreter (10.2). Eine Unterschrift der betroffenen Person ist kein Erfordernis und kein Ersatz für ihre Beteiligung.</w:t>
      </w:r>
    </w:p>
    <w:p>
      <w:pPr>
        <w:keepNext/>
        <w:spacing w:before="160" w:after="60"/>
      </w:pPr>
      <w:r>
        <w:rPr>
          <w:rFonts w:ascii="Aptos" w:hAnsi="Aptos" w:cs="Aptos" w:eastAsia="Aptos"/>
          <w:b/>
          <w:color w:val="8C5A2B"/>
          <w:sz w:val="23"/>
        </w:rPr>
        <w:t>Was diese Vorlage nicht ist</w:t>
      </w:r>
    </w:p>
    <w:p>
      <w:pPr>
        <w:jc w:val="both"/>
      </w:pPr>
      <w:r>
        <w:rPr>
          <w:rFonts w:ascii="Aptos" w:hAnsi="Aptos" w:cs="Aptos" w:eastAsia="Aptos"/>
          <w:b w:val="0"/>
          <w:i w:val="0"/>
          <w:sz w:val="17"/>
        </w:rPr>
        <w:t>Diese Vorlage ist ein Hilfsmittel für den Blick, kein Ablagestück. Sie ersetzt weder die ISO 45001 noch eine Rechtsberatung, weder die Gefährdungsbeurteilung des konkreten Hauses noch ein Audit, und sie trifft keine Aussage über das Urteil einer Zertifizierungsstelle. Externe Meldepflichten (z. B. Unfallanzeige) richten sich nach dem Recht des jeweiligen Landes; der Band stellt sie für D, A und CH dar. Verbindlich ist stets die jeweils gültige Fassung von Gesetz und Norm: Maßgeblich ist heute die ISO 45001:2018 (EN ISO 45001:2023, mit Amd 1:2024 zum Klimawandel). Der Entwurf ISO/DIS 45001 (Veröffentlichung für 2027 erwartet) ist nicht bindend; eine ISO 45001:2026 existiert nicht.</w:t>
      </w:r>
    </w:p>
    <w:sectPr w:rsidR="00FC693F" w:rsidRPr="0006063C" w:rsidSect="00034616">
      <w:footerReference w:type="default" r:id="rId9"/>
      <w:pgSz w:w="11906" w:h="16838"/>
      <w:pgMar w:top="567" w:right="850" w:bottom="68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s="Aptos" w:eastAsia="Aptos"/>
        <w:color w:val="7A6A55"/>
        <w:sz w:val="16"/>
      </w:rPr>
      <w:t xml:space="preserve">Das Steuer und die Lupe · Band 3b · ISO 45001 · buecher.effedore.com  ·  Seite </w:t>
    </w:r>
    <w:r>
      <w:rPr>
        <w:rFonts w:ascii="Aptos" w:hAnsi="Aptos" w:cs="Aptos" w:eastAsia="Aptos"/>
        <w:color w:val="7A6A55"/>
        <w:sz w:val="16"/>
      </w:rP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ptos" w:hAnsi="Aptos" w:eastAsia="Aptos"/>
      <w:color w:val="2B2B2B"/>
      <w:sz w:val="21"/>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