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rFonts w:ascii="Aptos" w:hAnsi="Aptos" w:cs="Aptos" w:eastAsia="Aptos"/>
          <w:b/>
          <w:i w:val="0"/>
          <w:color w:val="7A6A55"/>
          <w:sz w:val="16"/>
        </w:rPr>
        <w:t>VORLAGE ZU ABSCHNITT 3.13 DES BANDES 3b · LEITUNGSFASSUNG</w:t>
      </w:r>
    </w:p>
    <w:p>
      <w:pPr>
        <w:spacing w:after="20"/>
        <w:pBdr>
          <w:bottom w:val="single" w:sz="8" w:space="2" w:color="C9BBA6"/>
        </w:pBdr>
      </w:pPr>
      <w:r>
        <w:rPr>
          <w:rFonts w:ascii="Aptos" w:hAnsi="Aptos" w:cs="Aptos" w:eastAsia="Aptos"/>
          <w:b/>
          <w:i w:val="0"/>
          <w:color w:val="8C5A2B"/>
          <w:sz w:val="34"/>
        </w:rPr>
        <w:t>Entscheidungsvorlage – eine Seite, drei Befunde</w:t>
      </w:r>
    </w:p>
    <w:p>
      <w:pPr>
        <w:spacing w:after="60"/>
      </w:pPr>
      <w:r>
        <w:rPr>
          <w:rFonts w:ascii="Aptos" w:hAnsi="Aptos" w:cs="Aptos" w:eastAsia="Aptos"/>
          <w:b w:val="0"/>
          <w:i/>
          <w:color w:val="7A6A55"/>
          <w:sz w:val="17"/>
        </w:rPr>
        <w:t>So nutzen Sie diese Vorlage: Ein Hilfsmittel für die Entscheidung, kein Ablagestück. Der schwerste Befund steht oben bzw. links. Je Befund sechs Felder; ohne Größenordnung und ohne Datum ist ein Vorschlag nicht beschlussfähig. Die Seite wird vorgetragen (fünf Minuten), nicht verschickt. Der Auditor schlägt vor, er entscheidet nicht.</w:t>
      </w:r>
    </w:p>
    <w:tbl>
      <w:tblPr>
        <w:tblW w:type="auto" w:w="0"/>
        <w:tblLayout w:type="fixed"/>
        <w:tblLook w:firstColumn="1" w:firstRow="1" w:lastColumn="0" w:lastRow="0" w:noHBand="0" w:noVBand="1" w:val="04A0"/>
      </w:tblPr>
      <w:tblGrid>
        <w:gridCol w:w="3798"/>
        <w:gridCol w:w="3798"/>
        <w:gridCol w:w="3798"/>
        <w:gridCol w:w="3742"/>
      </w:tblGrid>
      <w:tr>
        <w:trPr>
          <w:trHeight w:val="510" w:hRule="atLeast"/>
          <w:trHeight w:val="510" w:hRule="atLeast"/>
          <w:trHeight w:val="510" w:hRule="atLeast"/>
          <w:trHeight w:val="510" w:hRule="atLeast"/>
        </w:trPr>
        <w:tc>
          <w:tcPr>
            <w:tcW w:type="dxa" w:w="3784"/>
            <w:tcBorders>
              <w:bottom w:val="single" w:sz="6" w:space="0" w:color="C9BBA6"/>
            </w:tcBorders>
          </w:tcPr>
          <w:p>
            <w:pPr>
              <w:spacing w:after="0"/>
            </w:pPr>
            <w:r>
              <w:rPr>
                <w:rFonts w:ascii="Aptos" w:hAnsi="Aptos" w:cs="Aptos" w:eastAsia="Aptos"/>
                <w:b/>
                <w:i w:val="0"/>
                <w:color w:val="8C5A2B"/>
                <w:sz w:val="15"/>
              </w:rPr>
              <w:t>Haus / Zyklus</w:t>
            </w:r>
          </w:p>
        </w:tc>
        <w:tc>
          <w:tcPr>
            <w:tcW w:type="dxa" w:w="3784"/>
            <w:tcBorders>
              <w:bottom w:val="single" w:sz="6" w:space="0" w:color="C9BBA6"/>
            </w:tcBorders>
          </w:tcPr>
          <w:p>
            <w:pPr>
              <w:spacing w:after="0"/>
            </w:pPr>
            <w:r>
              <w:rPr>
                <w:rFonts w:ascii="Aptos" w:hAnsi="Aptos" w:cs="Aptos" w:eastAsia="Aptos"/>
                <w:b/>
                <w:i w:val="0"/>
                <w:color w:val="8C5A2B"/>
                <w:sz w:val="15"/>
              </w:rPr>
              <w:t>Audits · Bereiche · Feststellungen insgesamt</w:t>
            </w:r>
          </w:p>
        </w:tc>
        <w:tc>
          <w:tcPr>
            <w:tcW w:type="dxa" w:w="3784"/>
            <w:tcBorders>
              <w:bottom w:val="single" w:sz="6" w:space="0" w:color="C9BBA6"/>
            </w:tcBorders>
          </w:tcPr>
          <w:p>
            <w:pPr>
              <w:spacing w:after="0"/>
            </w:pPr>
            <w:r>
              <w:rPr>
                <w:rFonts w:ascii="Aptos" w:hAnsi="Aptos" w:cs="Aptos" w:eastAsia="Aptos"/>
                <w:b/>
                <w:i w:val="0"/>
                <w:color w:val="8C5A2B"/>
                <w:sz w:val="15"/>
              </w:rPr>
              <w:t>Gremium / Datum des Vortrags</w:t>
            </w:r>
          </w:p>
        </w:tc>
        <w:tc>
          <w:tcPr>
            <w:tcW w:type="dxa" w:w="3784"/>
            <w:tcBorders>
              <w:bottom w:val="single" w:sz="6" w:space="0" w:color="C9BBA6"/>
            </w:tcBorders>
          </w:tcPr>
          <w:p>
            <w:pPr>
              <w:spacing w:after="0"/>
            </w:pPr>
            <w:r>
              <w:rPr>
                <w:rFonts w:ascii="Aptos" w:hAnsi="Aptos" w:cs="Aptos" w:eastAsia="Aptos"/>
                <w:b/>
                <w:i w:val="0"/>
                <w:color w:val="8C5A2B"/>
                <w:sz w:val="15"/>
              </w:rPr>
              <w:t>Vorgelegt von</w:t>
            </w:r>
          </w:p>
        </w:tc>
      </w:tr>
    </w:tbl>
    <w:p>
      <w:pPr>
        <w:spacing w:after="20"/>
      </w:pPr>
    </w:p>
    <w:tbl>
      <w:tblPr>
        <w:tblW w:type="auto" w:w="0"/>
        <w:tblLayout w:type="fixed"/>
        <w:tblLook w:firstColumn="1" w:firstRow="1" w:lastColumn="0" w:lastRow="0" w:noHBand="0" w:noVBand="1" w:val="04A0"/>
      </w:tblPr>
      <w:tblGrid>
        <w:gridCol w:w="2665"/>
        <w:gridCol w:w="4139"/>
        <w:gridCol w:w="4139"/>
        <w:gridCol w:w="4195"/>
      </w:tblGrid>
      <w:tr>
        <w:tc>
          <w:tcPr>
            <w:tcW w:type="dxa" w:w="3784"/>
            <w:shd w:val="clear" w:color="auto" w:fill="FFFFFF"/>
            <w:tcBorders>
              <w:top w:val="single" w:sz="4" w:space="0" w:color="C9BBA6"/>
              <w:left w:val="single" w:sz="4" w:space="0" w:color="C9BBA6"/>
              <w:bottom w:val="single" w:sz="4" w:space="0" w:color="C9BBA6"/>
              <w:right w:val="single" w:sz="4" w:space="0" w:color="C9BBA6"/>
            </w:tcBorders>
          </w:tcPr>
          <w:p>
            <w:pPr>
              <w:spacing w:after="0"/>
            </w:pPr>
            <w:r>
              <w:rPr>
                <w:rFonts w:ascii="Aptos" w:hAnsi="Aptos" w:cs="Aptos" w:eastAsia="Aptos"/>
                <w:b/>
                <w:i w:val="0"/>
                <w:color w:val="FFFFFF"/>
                <w:sz w:val="18"/>
              </w:rPr>
            </w:r>
          </w:p>
        </w:tc>
        <w:tc>
          <w:tcPr>
            <w:tcW w:type="dxa" w:w="3784"/>
            <w:shd w:val="clear" w:color="auto" w:fill="8C5A2B"/>
            <w:tcBorders>
              <w:top w:val="single" w:sz="4" w:space="0" w:color="C9BBA6"/>
              <w:left w:val="single" w:sz="4" w:space="0" w:color="C9BBA6"/>
              <w:bottom w:val="single" w:sz="4" w:space="0" w:color="C9BBA6"/>
              <w:right w:val="single" w:sz="4" w:space="0" w:color="C9BBA6"/>
            </w:tcBorders>
          </w:tcPr>
          <w:p>
            <w:pPr>
              <w:spacing w:after="0"/>
            </w:pPr>
            <w:r>
              <w:rPr>
                <w:rFonts w:ascii="Aptos" w:hAnsi="Aptos" w:cs="Aptos" w:eastAsia="Aptos"/>
                <w:b/>
                <w:i w:val="0"/>
                <w:color w:val="FFFFFF"/>
                <w:sz w:val="18"/>
              </w:rPr>
              <w:t>BEFUND 1 – schwerster</w:t>
            </w:r>
          </w:p>
        </w:tc>
        <w:tc>
          <w:tcPr>
            <w:tcW w:type="dxa" w:w="3784"/>
            <w:shd w:val="clear" w:color="auto" w:fill="8C5A2B"/>
            <w:tcBorders>
              <w:top w:val="single" w:sz="4" w:space="0" w:color="C9BBA6"/>
              <w:left w:val="single" w:sz="4" w:space="0" w:color="C9BBA6"/>
              <w:bottom w:val="single" w:sz="4" w:space="0" w:color="C9BBA6"/>
              <w:right w:val="single" w:sz="4" w:space="0" w:color="C9BBA6"/>
            </w:tcBorders>
          </w:tcPr>
          <w:p>
            <w:pPr>
              <w:spacing w:after="0"/>
            </w:pPr>
            <w:r>
              <w:rPr>
                <w:rFonts w:ascii="Aptos" w:hAnsi="Aptos" w:cs="Aptos" w:eastAsia="Aptos"/>
                <w:b/>
                <w:i w:val="0"/>
                <w:color w:val="FFFFFF"/>
                <w:sz w:val="18"/>
              </w:rPr>
              <w:t>BEFUND 2</w:t>
            </w:r>
          </w:p>
        </w:tc>
        <w:tc>
          <w:tcPr>
            <w:tcW w:type="dxa" w:w="3784"/>
            <w:shd w:val="clear" w:color="auto" w:fill="8C5A2B"/>
            <w:tcBorders>
              <w:top w:val="single" w:sz="4" w:space="0" w:color="C9BBA6"/>
              <w:left w:val="single" w:sz="4" w:space="0" w:color="C9BBA6"/>
              <w:bottom w:val="single" w:sz="4" w:space="0" w:color="C9BBA6"/>
              <w:right w:val="single" w:sz="4" w:space="0" w:color="C9BBA6"/>
            </w:tcBorders>
          </w:tcPr>
          <w:p>
            <w:pPr>
              <w:spacing w:after="0"/>
            </w:pPr>
            <w:r>
              <w:rPr>
                <w:rFonts w:ascii="Aptos" w:hAnsi="Aptos" w:cs="Aptos" w:eastAsia="Aptos"/>
                <w:b/>
                <w:i w:val="0"/>
                <w:color w:val="FFFFFF"/>
                <w:sz w:val="18"/>
              </w:rPr>
              <w:t>BEFUND 3</w:t>
            </w:r>
          </w:p>
        </w:tc>
      </w:tr>
      <w:tr>
        <w:trPr>
          <w:cantSplit w:val="true"/>
          <w:trHeight w:val="1077" w:hRule="atLeast"/>
        </w:trPr>
        <w:tc>
          <w:tcPr>
            <w:tcW w:type="dxa" w:w="2665"/>
            <w:tcBorders>
              <w:top w:val="single" w:sz="4" w:space="0" w:color="C9BBA6"/>
              <w:left w:val="single" w:sz="4" w:space="0" w:color="C9BBA6"/>
              <w:bottom w:val="single" w:sz="4" w:space="0" w:color="C9BBA6"/>
              <w:right w:val="single" w:sz="4" w:space="0" w:color="C9BBA6"/>
            </w:tcBorders>
            <w:shd w:val="clear" w:color="auto" w:fill="EFE7DC"/>
          </w:tcPr>
          <w:p>
            <w:pPr>
              <w:spacing w:after="0"/>
            </w:pPr>
            <w:r>
              <w:rPr>
                <w:rFonts w:ascii="Aptos" w:hAnsi="Aptos" w:cs="Aptos" w:eastAsia="Aptos"/>
                <w:b/>
                <w:i w:val="0"/>
                <w:color w:val="8C5A2B"/>
                <w:sz w:val="18"/>
              </w:rPr>
              <w:t>Sachverhalt</w:t>
            </w:r>
          </w:p>
          <w:p>
            <w:pPr>
              <w:spacing w:after="0"/>
            </w:pPr>
            <w:r>
              <w:rPr>
                <w:rFonts w:ascii="Aptos" w:hAnsi="Aptos" w:cs="Aptos" w:eastAsia="Aptos"/>
                <w:b w:val="0"/>
                <w:i/>
                <w:color w:val="7A6A55"/>
                <w:sz w:val="14"/>
              </w:rPr>
              <w:t>Ein Satz, konkret, ohne Klauselnummer</w:t>
            </w:r>
          </w:p>
        </w:tc>
        <w:tc>
          <w:tcPr>
            <w:tcW w:type="dxa" w:w="4139"/>
            <w:tcBorders>
              <w:top w:val="single" w:sz="4" w:space="0" w:color="C9BBA6"/>
              <w:left w:val="single" w:sz="4" w:space="0" w:color="C9BBA6"/>
              <w:bottom w:val="single" w:sz="4" w:space="0" w:color="C9BBA6"/>
              <w:right w:val="single" w:sz="4" w:space="0" w:color="C9BBA6"/>
            </w:tcBorders>
          </w:tcPr>
          <w:p/>
        </w:tc>
        <w:tc>
          <w:tcPr>
            <w:tcW w:type="dxa" w:w="4139"/>
            <w:tcBorders>
              <w:top w:val="single" w:sz="4" w:space="0" w:color="C9BBA6"/>
              <w:left w:val="single" w:sz="4" w:space="0" w:color="C9BBA6"/>
              <w:bottom w:val="single" w:sz="4" w:space="0" w:color="C9BBA6"/>
              <w:right w:val="single" w:sz="4" w:space="0" w:color="C9BBA6"/>
            </w:tcBorders>
          </w:tcPr>
          <w:p/>
        </w:tc>
        <w:tc>
          <w:tcPr>
            <w:tcW w:type="dxa" w:w="4195"/>
            <w:tcBorders>
              <w:top w:val="single" w:sz="4" w:space="0" w:color="C9BBA6"/>
              <w:left w:val="single" w:sz="4" w:space="0" w:color="C9BBA6"/>
              <w:bottom w:val="single" w:sz="4" w:space="0" w:color="C9BBA6"/>
              <w:right w:val="single" w:sz="4" w:space="0" w:color="C9BBA6"/>
            </w:tcBorders>
          </w:tcPr>
          <w:p/>
        </w:tc>
      </w:tr>
      <w:tr>
        <w:trPr>
          <w:cantSplit w:val="true"/>
          <w:trHeight w:val="1190" w:hRule="atLeast"/>
        </w:trPr>
        <w:tc>
          <w:tcPr>
            <w:tcW w:type="dxa" w:w="2665"/>
            <w:tcBorders>
              <w:top w:val="single" w:sz="4" w:space="0" w:color="C9BBA6"/>
              <w:left w:val="single" w:sz="4" w:space="0" w:color="C9BBA6"/>
              <w:bottom w:val="single" w:sz="4" w:space="0" w:color="C9BBA6"/>
              <w:right w:val="single" w:sz="4" w:space="0" w:color="C9BBA6"/>
            </w:tcBorders>
            <w:shd w:val="clear" w:color="auto" w:fill="EFE7DC"/>
          </w:tcPr>
          <w:p>
            <w:pPr>
              <w:spacing w:after="0"/>
            </w:pPr>
            <w:r>
              <w:rPr>
                <w:rFonts w:ascii="Aptos" w:hAnsi="Aptos" w:cs="Aptos" w:eastAsia="Aptos"/>
                <w:b/>
                <w:i w:val="0"/>
                <w:color w:val="8C5A2B"/>
                <w:sz w:val="18"/>
              </w:rPr>
              <w:t>Was im Ernstfall geschieht</w:t>
            </w:r>
          </w:p>
          <w:p>
            <w:pPr>
              <w:spacing w:after="0"/>
            </w:pPr>
            <w:r>
              <w:rPr>
                <w:rFonts w:ascii="Aptos" w:hAnsi="Aptos" w:cs="Aptos" w:eastAsia="Aptos"/>
                <w:b w:val="0"/>
                <w:i/>
                <w:color w:val="7A6A55"/>
                <w:sz w:val="14"/>
              </w:rPr>
              <w:t>Die plausible Folge, nüchtern (Auditsprache in die Leitungssprache übersetzen)</w:t>
            </w:r>
          </w:p>
        </w:tc>
        <w:tc>
          <w:tcPr>
            <w:tcW w:type="dxa" w:w="4139"/>
            <w:tcBorders>
              <w:top w:val="single" w:sz="4" w:space="0" w:color="C9BBA6"/>
              <w:left w:val="single" w:sz="4" w:space="0" w:color="C9BBA6"/>
              <w:bottom w:val="single" w:sz="4" w:space="0" w:color="C9BBA6"/>
              <w:right w:val="single" w:sz="4" w:space="0" w:color="C9BBA6"/>
            </w:tcBorders>
          </w:tcPr>
          <w:p/>
        </w:tc>
        <w:tc>
          <w:tcPr>
            <w:tcW w:type="dxa" w:w="4139"/>
            <w:tcBorders>
              <w:top w:val="single" w:sz="4" w:space="0" w:color="C9BBA6"/>
              <w:left w:val="single" w:sz="4" w:space="0" w:color="C9BBA6"/>
              <w:bottom w:val="single" w:sz="4" w:space="0" w:color="C9BBA6"/>
              <w:right w:val="single" w:sz="4" w:space="0" w:color="C9BBA6"/>
            </w:tcBorders>
          </w:tcPr>
          <w:p/>
        </w:tc>
        <w:tc>
          <w:tcPr>
            <w:tcW w:type="dxa" w:w="4195"/>
            <w:tcBorders>
              <w:top w:val="single" w:sz="4" w:space="0" w:color="C9BBA6"/>
              <w:left w:val="single" w:sz="4" w:space="0" w:color="C9BBA6"/>
              <w:bottom w:val="single" w:sz="4" w:space="0" w:color="C9BBA6"/>
              <w:right w:val="single" w:sz="4" w:space="0" w:color="C9BBA6"/>
            </w:tcBorders>
          </w:tcPr>
          <w:p/>
        </w:tc>
      </w:tr>
      <w:tr>
        <w:trPr>
          <w:cantSplit w:val="true"/>
          <w:trHeight w:val="907" w:hRule="atLeast"/>
        </w:trPr>
        <w:tc>
          <w:tcPr>
            <w:tcW w:type="dxa" w:w="2665"/>
            <w:tcBorders>
              <w:top w:val="single" w:sz="4" w:space="0" w:color="C9BBA6"/>
              <w:left w:val="single" w:sz="4" w:space="0" w:color="C9BBA6"/>
              <w:bottom w:val="single" w:sz="4" w:space="0" w:color="C9BBA6"/>
              <w:right w:val="single" w:sz="4" w:space="0" w:color="C9BBA6"/>
            </w:tcBorders>
            <w:shd w:val="clear" w:color="auto" w:fill="EFE7DC"/>
          </w:tcPr>
          <w:p>
            <w:pPr>
              <w:spacing w:after="0"/>
            </w:pPr>
            <w:r>
              <w:rPr>
                <w:rFonts w:ascii="Aptos" w:hAnsi="Aptos" w:cs="Aptos" w:eastAsia="Aptos"/>
                <w:b/>
                <w:i w:val="0"/>
                <w:color w:val="8C5A2B"/>
                <w:sz w:val="18"/>
              </w:rPr>
              <w:t>Rechtliche Einordnung</w:t>
            </w:r>
          </w:p>
          <w:p>
            <w:pPr>
              <w:spacing w:after="0"/>
            </w:pPr>
            <w:r>
              <w:rPr>
                <w:rFonts w:ascii="Aptos" w:hAnsi="Aptos" w:cs="Aptos" w:eastAsia="Aptos"/>
                <w:b w:val="0"/>
                <w:i/>
                <w:color w:val="7A6A55"/>
                <w:sz w:val="14"/>
              </w:rPr>
              <w:t>Die Grundlage, wenn es eine gibt – kurz; sonst leer lassen</w:t>
            </w:r>
          </w:p>
        </w:tc>
        <w:tc>
          <w:tcPr>
            <w:tcW w:type="dxa" w:w="4139"/>
            <w:tcBorders>
              <w:top w:val="single" w:sz="4" w:space="0" w:color="C9BBA6"/>
              <w:left w:val="single" w:sz="4" w:space="0" w:color="C9BBA6"/>
              <w:bottom w:val="single" w:sz="4" w:space="0" w:color="C9BBA6"/>
              <w:right w:val="single" w:sz="4" w:space="0" w:color="C9BBA6"/>
            </w:tcBorders>
          </w:tcPr>
          <w:p/>
        </w:tc>
        <w:tc>
          <w:tcPr>
            <w:tcW w:type="dxa" w:w="4139"/>
            <w:tcBorders>
              <w:top w:val="single" w:sz="4" w:space="0" w:color="C9BBA6"/>
              <w:left w:val="single" w:sz="4" w:space="0" w:color="C9BBA6"/>
              <w:bottom w:val="single" w:sz="4" w:space="0" w:color="C9BBA6"/>
              <w:right w:val="single" w:sz="4" w:space="0" w:color="C9BBA6"/>
            </w:tcBorders>
          </w:tcPr>
          <w:p/>
        </w:tc>
        <w:tc>
          <w:tcPr>
            <w:tcW w:type="dxa" w:w="4195"/>
            <w:tcBorders>
              <w:top w:val="single" w:sz="4" w:space="0" w:color="C9BBA6"/>
              <w:left w:val="single" w:sz="4" w:space="0" w:color="C9BBA6"/>
              <w:bottom w:val="single" w:sz="4" w:space="0" w:color="C9BBA6"/>
              <w:right w:val="single" w:sz="4" w:space="0" w:color="C9BBA6"/>
            </w:tcBorders>
          </w:tcPr>
          <w:p/>
        </w:tc>
      </w:tr>
      <w:tr>
        <w:trPr>
          <w:cantSplit w:val="true"/>
          <w:trHeight w:val="1474" w:hRule="atLeast"/>
        </w:trPr>
        <w:tc>
          <w:tcPr>
            <w:tcW w:type="dxa" w:w="2665"/>
            <w:tcBorders>
              <w:top w:val="single" w:sz="4" w:space="0" w:color="C9BBA6"/>
              <w:left w:val="single" w:sz="4" w:space="0" w:color="C9BBA6"/>
              <w:bottom w:val="single" w:sz="4" w:space="0" w:color="C9BBA6"/>
              <w:right w:val="single" w:sz="4" w:space="0" w:color="C9BBA6"/>
            </w:tcBorders>
            <w:shd w:val="clear" w:color="auto" w:fill="EFE7DC"/>
          </w:tcPr>
          <w:p>
            <w:pPr>
              <w:spacing w:after="0"/>
            </w:pPr>
            <w:r>
              <w:rPr>
                <w:rFonts w:ascii="Aptos" w:hAnsi="Aptos" w:cs="Aptos" w:eastAsia="Aptos"/>
                <w:b/>
                <w:i w:val="0"/>
                <w:color w:val="8C5A2B"/>
                <w:sz w:val="18"/>
              </w:rPr>
              <w:t>Vorschlag</w:t>
            </w:r>
          </w:p>
          <w:p>
            <w:pPr>
              <w:spacing w:after="0"/>
            </w:pPr>
            <w:r>
              <w:rPr>
                <w:rFonts w:ascii="Aptos" w:hAnsi="Aptos" w:cs="Aptos" w:eastAsia="Aptos"/>
                <w:b w:val="0"/>
                <w:i/>
                <w:color w:val="7A6A55"/>
                <w:sz w:val="14"/>
              </w:rPr>
              <w:t>Was zu tun ist, auf der richtigen Stufe der Rangfolge. Übergangsmaßnahme, falls abgelehnt:</w:t>
            </w:r>
          </w:p>
        </w:tc>
        <w:tc>
          <w:tcPr>
            <w:tcW w:type="dxa" w:w="4139"/>
            <w:tcBorders>
              <w:top w:val="single" w:sz="4" w:space="0" w:color="C9BBA6"/>
              <w:left w:val="single" w:sz="4" w:space="0" w:color="C9BBA6"/>
              <w:bottom w:val="single" w:sz="4" w:space="0" w:color="C9BBA6"/>
              <w:right w:val="single" w:sz="4" w:space="0" w:color="C9BBA6"/>
            </w:tcBorders>
          </w:tcPr>
          <w:p/>
        </w:tc>
        <w:tc>
          <w:tcPr>
            <w:tcW w:type="dxa" w:w="4139"/>
            <w:tcBorders>
              <w:top w:val="single" w:sz="4" w:space="0" w:color="C9BBA6"/>
              <w:left w:val="single" w:sz="4" w:space="0" w:color="C9BBA6"/>
              <w:bottom w:val="single" w:sz="4" w:space="0" w:color="C9BBA6"/>
              <w:right w:val="single" w:sz="4" w:space="0" w:color="C9BBA6"/>
            </w:tcBorders>
          </w:tcPr>
          <w:p/>
        </w:tc>
        <w:tc>
          <w:tcPr>
            <w:tcW w:type="dxa" w:w="4195"/>
            <w:tcBorders>
              <w:top w:val="single" w:sz="4" w:space="0" w:color="C9BBA6"/>
              <w:left w:val="single" w:sz="4" w:space="0" w:color="C9BBA6"/>
              <w:bottom w:val="single" w:sz="4" w:space="0" w:color="C9BBA6"/>
              <w:right w:val="single" w:sz="4" w:space="0" w:color="C9BBA6"/>
            </w:tcBorders>
          </w:tcPr>
          <w:p/>
        </w:tc>
      </w:tr>
      <w:tr>
        <w:trPr>
          <w:cantSplit w:val="true"/>
          <w:trHeight w:val="1020" w:hRule="atLeast"/>
        </w:trPr>
        <w:tc>
          <w:tcPr>
            <w:tcW w:type="dxa" w:w="2665"/>
            <w:tcBorders>
              <w:top w:val="single" w:sz="4" w:space="0" w:color="C9BBA6"/>
              <w:left w:val="single" w:sz="4" w:space="0" w:color="C9BBA6"/>
              <w:bottom w:val="single" w:sz="4" w:space="0" w:color="C9BBA6"/>
              <w:right w:val="single" w:sz="4" w:space="0" w:color="C9BBA6"/>
            </w:tcBorders>
            <w:shd w:val="clear" w:color="auto" w:fill="EFE7DC"/>
          </w:tcPr>
          <w:p>
            <w:pPr>
              <w:spacing w:after="0"/>
            </w:pPr>
            <w:r>
              <w:rPr>
                <w:rFonts w:ascii="Aptos" w:hAnsi="Aptos" w:cs="Aptos" w:eastAsia="Aptos"/>
                <w:b/>
                <w:i w:val="0"/>
                <w:color w:val="8C5A2B"/>
                <w:sz w:val="18"/>
              </w:rPr>
              <w:t>Kosten und Aufwand</w:t>
            </w:r>
          </w:p>
          <w:p>
            <w:pPr>
              <w:spacing w:after="0"/>
            </w:pPr>
            <w:r>
              <w:rPr>
                <w:rFonts w:ascii="Aptos" w:hAnsi="Aptos" w:cs="Aptos" w:eastAsia="Aptos"/>
                <w:b w:val="0"/>
                <w:i/>
                <w:color w:val="7A6A55"/>
                <w:sz w:val="14"/>
              </w:rPr>
              <w:t>Betrag oder Größenordnung, ehrlich geschätzt – Kennzeichnung unten ankreuzen</w:t>
            </w:r>
          </w:p>
        </w:tc>
        <w:tc>
          <w:tcPr>
            <w:tcW w:type="dxa" w:w="4139"/>
            <w:tcBorders>
              <w:top w:val="single" w:sz="4" w:space="0" w:color="C9BBA6"/>
              <w:left w:val="single" w:sz="4" w:space="0" w:color="C9BBA6"/>
              <w:bottom w:val="single" w:sz="4" w:space="0" w:color="C9BBA6"/>
              <w:right w:val="single" w:sz="4" w:space="0" w:color="C9BBA6"/>
            </w:tcBorders>
          </w:tcPr>
          <w:p>
            <w:pPr>
              <w:spacing w:after="0"/>
            </w:pPr>
            <w:r>
              <w:rPr>
                <w:rFonts w:ascii="Aptos" w:hAnsi="Aptos" w:cs="Aptos" w:eastAsia="Aptos"/>
                <w:b w:val="0"/>
                <w:i w:val="0"/>
                <w:color w:val="7A6A55"/>
                <w:sz w:val="15"/>
              </w:rPr>
              <w:t>☐ Betrag   ☐ Größenordnung   ☐ GESCHÄTZT</w:t>
            </w:r>
          </w:p>
        </w:tc>
        <w:tc>
          <w:tcPr>
            <w:tcW w:type="dxa" w:w="4139"/>
            <w:tcBorders>
              <w:top w:val="single" w:sz="4" w:space="0" w:color="C9BBA6"/>
              <w:left w:val="single" w:sz="4" w:space="0" w:color="C9BBA6"/>
              <w:bottom w:val="single" w:sz="4" w:space="0" w:color="C9BBA6"/>
              <w:right w:val="single" w:sz="4" w:space="0" w:color="C9BBA6"/>
            </w:tcBorders>
          </w:tcPr>
          <w:p>
            <w:pPr>
              <w:spacing w:after="0"/>
            </w:pPr>
            <w:r>
              <w:rPr>
                <w:rFonts w:ascii="Aptos" w:hAnsi="Aptos" w:cs="Aptos" w:eastAsia="Aptos"/>
                <w:b w:val="0"/>
                <w:i w:val="0"/>
                <w:color w:val="7A6A55"/>
                <w:sz w:val="15"/>
              </w:rPr>
              <w:t>☐ Betrag   ☐ Größenordnung   ☐ GESCHÄTZT</w:t>
            </w:r>
          </w:p>
        </w:tc>
        <w:tc>
          <w:tcPr>
            <w:tcW w:type="dxa" w:w="4195"/>
            <w:tcBorders>
              <w:top w:val="single" w:sz="4" w:space="0" w:color="C9BBA6"/>
              <w:left w:val="single" w:sz="4" w:space="0" w:color="C9BBA6"/>
              <w:bottom w:val="single" w:sz="4" w:space="0" w:color="C9BBA6"/>
              <w:right w:val="single" w:sz="4" w:space="0" w:color="C9BBA6"/>
            </w:tcBorders>
          </w:tcPr>
          <w:p>
            <w:pPr>
              <w:spacing w:after="0"/>
            </w:pPr>
            <w:r>
              <w:rPr>
                <w:rFonts w:ascii="Aptos" w:hAnsi="Aptos" w:cs="Aptos" w:eastAsia="Aptos"/>
                <w:b w:val="0"/>
                <w:i w:val="0"/>
                <w:color w:val="7A6A55"/>
                <w:sz w:val="15"/>
              </w:rPr>
              <w:t>☐ Betrag   ☐ Größenordnung   ☐ GESCHÄTZT</w:t>
            </w:r>
          </w:p>
        </w:tc>
      </w:tr>
      <w:tr>
        <w:trPr>
          <w:cantSplit w:val="true"/>
          <w:trHeight w:val="963" w:hRule="atLeast"/>
        </w:trPr>
        <w:tc>
          <w:tcPr>
            <w:tcW w:type="dxa" w:w="2665"/>
            <w:tcBorders>
              <w:top w:val="single" w:sz="4" w:space="0" w:color="C9BBA6"/>
              <w:left w:val="single" w:sz="4" w:space="0" w:color="C9BBA6"/>
              <w:bottom w:val="single" w:sz="4" w:space="0" w:color="C9BBA6"/>
              <w:right w:val="single" w:sz="4" w:space="0" w:color="C9BBA6"/>
            </w:tcBorders>
            <w:shd w:val="clear" w:color="auto" w:fill="EFE7DC"/>
          </w:tcPr>
          <w:p>
            <w:pPr>
              <w:spacing w:after="0"/>
            </w:pPr>
            <w:r>
              <w:rPr>
                <w:rFonts w:ascii="Aptos" w:hAnsi="Aptos" w:cs="Aptos" w:eastAsia="Aptos"/>
                <w:b/>
                <w:i w:val="0"/>
                <w:color w:val="8C5A2B"/>
                <w:sz w:val="18"/>
              </w:rPr>
              <w:t>Erbetene Entscheidung</w:t>
            </w:r>
          </w:p>
          <w:p>
            <w:pPr>
              <w:spacing w:after="0"/>
            </w:pPr>
            <w:r>
              <w:rPr>
                <w:rFonts w:ascii="Aptos" w:hAnsi="Aptos" w:cs="Aptos" w:eastAsia="Aptos"/>
                <w:b w:val="0"/>
                <w:i/>
                <w:color w:val="7A6A55"/>
                <w:sz w:val="14"/>
              </w:rPr>
              <w:t>Was die Leitung tun soll, mit Datum</w:t>
            </w:r>
          </w:p>
        </w:tc>
        <w:tc>
          <w:tcPr>
            <w:tcW w:type="dxa" w:w="4139"/>
            <w:tcBorders>
              <w:top w:val="single" w:sz="4" w:space="0" w:color="C9BBA6"/>
              <w:left w:val="single" w:sz="4" w:space="0" w:color="C9BBA6"/>
              <w:bottom w:val="single" w:sz="4" w:space="0" w:color="C9BBA6"/>
              <w:right w:val="single" w:sz="4" w:space="0" w:color="C9BBA6"/>
            </w:tcBorders>
          </w:tcPr>
          <w:p/>
        </w:tc>
        <w:tc>
          <w:tcPr>
            <w:tcW w:type="dxa" w:w="4139"/>
            <w:tcBorders>
              <w:top w:val="single" w:sz="4" w:space="0" w:color="C9BBA6"/>
              <w:left w:val="single" w:sz="4" w:space="0" w:color="C9BBA6"/>
              <w:bottom w:val="single" w:sz="4" w:space="0" w:color="C9BBA6"/>
              <w:right w:val="single" w:sz="4" w:space="0" w:color="C9BBA6"/>
            </w:tcBorders>
          </w:tcPr>
          <w:p/>
        </w:tc>
        <w:tc>
          <w:tcPr>
            <w:tcW w:type="dxa" w:w="4195"/>
            <w:tcBorders>
              <w:top w:val="single" w:sz="4" w:space="0" w:color="C9BBA6"/>
              <w:left w:val="single" w:sz="4" w:space="0" w:color="C9BBA6"/>
              <w:bottom w:val="single" w:sz="4" w:space="0" w:color="C9BBA6"/>
              <w:right w:val="single" w:sz="4" w:space="0" w:color="C9BBA6"/>
            </w:tcBorders>
          </w:tcPr>
          <w:p/>
        </w:tc>
      </w:tr>
    </w:tbl>
    <w:p>
      <w:pPr>
        <w:spacing w:after="20"/>
      </w:pPr>
    </w:p>
    <w:p>
      <w:pPr>
        <w:spacing w:after="40"/>
      </w:pPr>
      <w:r>
        <w:rPr>
          <w:rFonts w:ascii="Aptos" w:hAnsi="Aptos" w:cs="Aptos" w:eastAsia="Aptos"/>
          <w:b/>
          <w:i w:val="0"/>
          <w:color w:val="8C5A2B"/>
          <w:sz w:val="18"/>
        </w:rPr>
        <w:t xml:space="preserve">Stand des Übrigen: </w:t>
      </w:r>
      <w:r>
        <w:rPr>
          <w:rFonts w:ascii="Aptos" w:hAnsi="Aptos" w:cs="Aptos" w:eastAsia="Aptos"/>
          <w:b w:val="0"/>
          <w:i w:val="0"/>
          <w:sz w:val="18"/>
        </w:rPr>
        <w:t xml:space="preserve">_____ weitere Feststellungen in Bearbeitung, Stand im Anhang (technischer Bericht).   </w:t>
      </w:r>
      <w:r>
        <w:rPr>
          <w:rFonts w:ascii="Aptos" w:hAnsi="Aptos" w:cs="Aptos" w:eastAsia="Aptos"/>
          <w:b/>
          <w:i w:val="0"/>
          <w:color w:val="8C5A2B"/>
          <w:sz w:val="18"/>
        </w:rPr>
        <w:t xml:space="preserve">Am Schluss die drei Fragen: </w:t>
      </w:r>
      <w:r>
        <w:rPr>
          <w:rFonts w:ascii="Aptos" w:hAnsi="Aptos" w:cs="Aptos" w:eastAsia="Aptos"/>
          <w:b w:val="0"/>
          <w:i w:val="0"/>
          <w:sz w:val="18"/>
        </w:rPr>
        <w:t>Entscheiden Sie Befund 1?   Entscheiden Sie Befund 2?   Entscheiden Sie Befund 3?   – danach Schweigen. Eine Ablehnung ist ein zulässiges Ergebnis; sie steht im Protokoll.</w:t>
      </w:r>
    </w:p>
    <w:p>
      <w:pPr>
        <w:spacing w:after="0"/>
      </w:pPr>
      <w:r>
        <w:rPr>
          <w:rFonts w:ascii="Aptos" w:hAnsi="Aptos" w:cs="Aptos" w:eastAsia="Aptos"/>
          <w:b w:val="0"/>
          <w:i/>
          <w:color w:val="7A6A55"/>
          <w:sz w:val="16"/>
        </w:rPr>
        <w:t>Nicht auf diese Seite: Namen von Beschäftigten · Diagnosen und Gesundheitsdaten · Klauselnummern ohne Übersetzung · alle Feststellungen · Konjunktive · Schuldzuweisungen an Bereiche.</w:t>
      </w:r>
    </w:p>
    <w:p>
      <w:pPr>
        <w:keepNext/>
        <w:pageBreakBefore/>
        <w:spacing w:before="280" w:after="80"/>
        <w:pBdr>
          <w:bottom w:val="single" w:sz="6" w:space="2" w:color="C9BBA6"/>
        </w:pBdr>
      </w:pPr>
      <w:r>
        <w:rPr>
          <w:rFonts w:ascii="Aptos" w:hAnsi="Aptos" w:cs="Aptos" w:eastAsia="Aptos"/>
          <w:b/>
          <w:color w:val="8C5A2B"/>
          <w:sz w:val="28"/>
        </w:rPr>
        <w:t>Die drei Befunde auswählen</w:t>
      </w:r>
    </w:p>
    <w:p>
      <w:pPr>
        <w:spacing w:after="80"/>
      </w:pPr>
      <w:r>
        <w:rPr>
          <w:rFonts w:ascii="Aptos" w:hAnsi="Aptos" w:cs="Aptos" w:eastAsia="Aptos"/>
          <w:b w:val="0"/>
          <w:i w:val="0"/>
          <w:sz w:val="19"/>
        </w:rPr>
        <w:t>Die Auswahl ist die anspruchsvollste Einzelaufgabe der Berichterstattung – nicht das Kürzen macht den Bericht wirksam, sondern das Auswählen. Notieren Sie je Kandidat eine kurze Antwort auf die fünf Fragen; die Vorlage rechnet nicht und vergibt keine Punkte – das Band nennt keine, nur die Gewichtung in Worten. Maßstab ist nicht, was am leichtesten zu erklären ist oder am längsten offen steht.</w:t>
      </w:r>
    </w:p>
    <w:tbl>
      <w:tblPr>
        <w:tblW w:type="auto" w:w="0"/>
        <w:jc w:val="center"/>
        <w:tblLayout w:type="fixed"/>
        <w:tblLook w:firstColumn="1" w:firstRow="1" w:lastColumn="0" w:lastRow="0" w:noHBand="0" w:noVBand="1" w:val="04A0"/>
      </w:tblPr>
      <w:tblGrid>
        <w:gridCol w:w="2041"/>
        <w:gridCol w:w="2721"/>
        <w:gridCol w:w="3061"/>
        <w:gridCol w:w="1463"/>
        <w:gridCol w:w="1463"/>
        <w:gridCol w:w="1463"/>
        <w:gridCol w:w="1463"/>
        <w:gridCol w:w="1463"/>
      </w:tblGrid>
      <w:tr>
        <w:trPr>
          <w:tblHeader w:val="true"/>
        </w:trPr>
        <w:tc>
          <w:tcPr>
            <w:tcW w:type="dxa" w:w="2041"/>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Kriterium</w:t>
            </w:r>
          </w:p>
        </w:tc>
        <w:tc>
          <w:tcPr>
            <w:tcW w:type="dxa" w:w="2721"/>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Frage</w:t>
            </w:r>
          </w:p>
        </w:tc>
        <w:tc>
          <w:tcPr>
            <w:tcW w:type="dxa" w:w="3061"/>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Gewicht (nach dem Band)</w:t>
            </w:r>
          </w:p>
        </w:tc>
        <w:tc>
          <w:tcPr>
            <w:tcW w:type="dxa" w:w="1463"/>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Kandidat A</w:t>
            </w:r>
          </w:p>
        </w:tc>
        <w:tc>
          <w:tcPr>
            <w:tcW w:type="dxa" w:w="1463"/>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Kandidat B</w:t>
            </w:r>
          </w:p>
        </w:tc>
        <w:tc>
          <w:tcPr>
            <w:tcW w:type="dxa" w:w="1463"/>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Kandidat C</w:t>
            </w:r>
          </w:p>
        </w:tc>
        <w:tc>
          <w:tcPr>
            <w:tcW w:type="dxa" w:w="1463"/>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Kandidat D</w:t>
            </w:r>
          </w:p>
        </w:tc>
        <w:tc>
          <w:tcPr>
            <w:tcW w:type="dxa" w:w="1463"/>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Kandidat E</w:t>
            </w:r>
          </w:p>
        </w:tc>
      </w:tr>
      <w:tr>
        <w:trPr>
          <w:cantSplit w:val="true"/>
          <w:trHeight w:val="680" w:hRule="atLeast"/>
        </w:trPr>
        <w:tc>
          <w:tcPr>
            <w:tcW w:type="dxa" w:w="204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sz w:val="17"/>
              </w:rPr>
              <w:t>Mögliche Schwere</w:t>
            </w:r>
          </w:p>
        </w:tc>
        <w:tc>
          <w:tcPr>
            <w:tcW w:type="dxa" w:w="272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Was ist der schlimmste plausible Ausgang?</w:t>
            </w:r>
          </w:p>
        </w:tc>
        <w:tc>
          <w:tcPr>
            <w:tcW w:type="dxa" w:w="306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Führend – vor der Häufigkeit</w:t>
            </w:r>
          </w:p>
        </w:tc>
        <w:tc>
          <w:tcPr>
            <w:tcW w:type="dxa" w:w="1463"/>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1463"/>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1463"/>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1463"/>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1463"/>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r>
      <w:tr>
        <w:trPr>
          <w:cantSplit w:val="true"/>
          <w:trHeight w:val="680" w:hRule="atLeast"/>
        </w:trPr>
        <w:tc>
          <w:tcPr>
            <w:tcW w:type="dxa" w:w="204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i w:val="0"/>
                <w:sz w:val="17"/>
              </w:rPr>
              <w:t>Reichweite</w:t>
            </w:r>
          </w:p>
        </w:tc>
        <w:tc>
          <w:tcPr>
            <w:tcW w:type="dxa" w:w="272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t>Betrifft es einen Arbeitsplatz oder das ganze Haus?</w:t>
            </w:r>
          </w:p>
        </w:tc>
        <w:tc>
          <w:tcPr>
            <w:tcW w:type="dxa" w:w="306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t>Ein defekter Meldeweg wiegt mehr als eine defekte Rolle</w:t>
            </w:r>
          </w:p>
        </w:tc>
        <w:tc>
          <w:tcPr>
            <w:tcW w:type="dxa" w:w="1463"/>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r>
          </w:p>
        </w:tc>
        <w:tc>
          <w:tcPr>
            <w:tcW w:type="dxa" w:w="1463"/>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r>
          </w:p>
        </w:tc>
        <w:tc>
          <w:tcPr>
            <w:tcW w:type="dxa" w:w="1463"/>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r>
          </w:p>
        </w:tc>
        <w:tc>
          <w:tcPr>
            <w:tcW w:type="dxa" w:w="1463"/>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r>
          </w:p>
        </w:tc>
        <w:tc>
          <w:tcPr>
            <w:tcW w:type="dxa" w:w="1463"/>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r>
          </w:p>
        </w:tc>
      </w:tr>
      <w:tr>
        <w:trPr>
          <w:cantSplit w:val="true"/>
          <w:trHeight w:val="680" w:hRule="atLeast"/>
        </w:trPr>
        <w:tc>
          <w:tcPr>
            <w:tcW w:type="dxa" w:w="204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sz w:val="17"/>
              </w:rPr>
              <w:t>Wiederholung</w:t>
            </w:r>
          </w:p>
        </w:tc>
        <w:tc>
          <w:tcPr>
            <w:tcW w:type="dxa" w:w="272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Stand es schon einmal im Bericht?</w:t>
            </w:r>
          </w:p>
        </w:tc>
        <w:tc>
          <w:tcPr>
            <w:tcW w:type="dxa" w:w="306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Die Wiederholung ist ein eigenständiger Befund</w:t>
            </w:r>
          </w:p>
        </w:tc>
        <w:tc>
          <w:tcPr>
            <w:tcW w:type="dxa" w:w="1463"/>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1463"/>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1463"/>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1463"/>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1463"/>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r>
      <w:tr>
        <w:trPr>
          <w:cantSplit w:val="true"/>
          <w:trHeight w:val="680" w:hRule="atLeast"/>
        </w:trPr>
        <w:tc>
          <w:tcPr>
            <w:tcW w:type="dxa" w:w="204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i w:val="0"/>
                <w:sz w:val="17"/>
              </w:rPr>
              <w:t>Entscheidungsbedarf</w:t>
            </w:r>
          </w:p>
        </w:tc>
        <w:tc>
          <w:tcPr>
            <w:tcW w:type="dxa" w:w="272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t>Kann der Bereich es selbst lösen?</w:t>
            </w:r>
          </w:p>
        </w:tc>
        <w:tc>
          <w:tcPr>
            <w:tcW w:type="dxa" w:w="306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t>Was der Bereich lösen kann, gehört nicht in die Leitungsfassung (→ technischer Bericht, Nachverfolgung)</w:t>
            </w:r>
          </w:p>
        </w:tc>
        <w:tc>
          <w:tcPr>
            <w:tcW w:type="dxa" w:w="1463"/>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r>
          </w:p>
        </w:tc>
        <w:tc>
          <w:tcPr>
            <w:tcW w:type="dxa" w:w="1463"/>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r>
          </w:p>
        </w:tc>
        <w:tc>
          <w:tcPr>
            <w:tcW w:type="dxa" w:w="1463"/>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r>
          </w:p>
        </w:tc>
        <w:tc>
          <w:tcPr>
            <w:tcW w:type="dxa" w:w="1463"/>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r>
          </w:p>
        </w:tc>
        <w:tc>
          <w:tcPr>
            <w:tcW w:type="dxa" w:w="1463"/>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r>
          </w:p>
        </w:tc>
      </w:tr>
      <w:tr>
        <w:trPr>
          <w:cantSplit w:val="true"/>
          <w:trHeight w:val="680" w:hRule="atLeast"/>
        </w:trPr>
        <w:tc>
          <w:tcPr>
            <w:tcW w:type="dxa" w:w="204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sz w:val="17"/>
              </w:rPr>
              <w:t>Rechtliche Einordnung</w:t>
            </w:r>
          </w:p>
        </w:tc>
        <w:tc>
          <w:tcPr>
            <w:tcW w:type="dxa" w:w="272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Betrifft es eine klare gesetzliche Pflicht?</w:t>
            </w:r>
          </w:p>
        </w:tc>
        <w:tc>
          <w:tcPr>
            <w:tcW w:type="dxa" w:w="306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Erhöht die Dringlichkeit spürbar und zu Recht</w:t>
            </w:r>
          </w:p>
        </w:tc>
        <w:tc>
          <w:tcPr>
            <w:tcW w:type="dxa" w:w="1463"/>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1463"/>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1463"/>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1463"/>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1463"/>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r>
      <w:tr>
        <w:trPr>
          <w:cantSplit w:val="true"/>
          <w:trHeight w:val="680" w:hRule="atLeast"/>
        </w:trPr>
        <w:tc>
          <w:tcPr>
            <w:tcW w:type="dxa" w:w="204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i w:val="0"/>
                <w:sz w:val="17"/>
              </w:rPr>
              <w:t>Gewählt als Befund Nr. (1 / 2 / 3 / –)</w:t>
            </w:r>
          </w:p>
        </w:tc>
        <w:tc>
          <w:tcPr>
            <w:tcW w:type="dxa" w:w="272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r>
          </w:p>
        </w:tc>
        <w:tc>
          <w:tcPr>
            <w:tcW w:type="dxa" w:w="306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r>
          </w:p>
        </w:tc>
        <w:tc>
          <w:tcPr>
            <w:tcW w:type="dxa" w:w="1463"/>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r>
          </w:p>
        </w:tc>
        <w:tc>
          <w:tcPr>
            <w:tcW w:type="dxa" w:w="1463"/>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r>
          </w:p>
        </w:tc>
        <w:tc>
          <w:tcPr>
            <w:tcW w:type="dxa" w:w="1463"/>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r>
          </w:p>
        </w:tc>
        <w:tc>
          <w:tcPr>
            <w:tcW w:type="dxa" w:w="1463"/>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r>
          </w:p>
        </w:tc>
        <w:tc>
          <w:tcPr>
            <w:tcW w:type="dxa" w:w="1463"/>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r>
          </w:p>
        </w:tc>
      </w:tr>
    </w:tbl>
    <w:p>
      <w:pPr>
        <w:spacing w:after="80"/>
      </w:pPr>
    </w:p>
    <w:p>
      <w:pPr>
        <w:keepNext/>
        <w:spacing w:before="160" w:after="60"/>
      </w:pPr>
      <w:r>
        <w:rPr>
          <w:rFonts w:ascii="Aptos" w:hAnsi="Aptos" w:cs="Aptos" w:eastAsia="Aptos"/>
          <w:b/>
          <w:color w:val="8C5A2B"/>
          <w:sz w:val="23"/>
        </w:rPr>
        <w:t>Wie wird die Leitung angesprochen – wer bekommt welche Fassung</w:t>
      </w:r>
    </w:p>
    <w:tbl>
      <w:tblPr>
        <w:tblW w:type="auto" w:w="0"/>
        <w:jc w:val="center"/>
        <w:tblLayout w:type="fixed"/>
        <w:tblLook w:firstColumn="1" w:firstRow="1" w:lastColumn="0" w:lastRow="0" w:noHBand="0" w:noVBand="1" w:val="04A0"/>
      </w:tblPr>
      <w:tblGrid>
        <w:gridCol w:w="2835"/>
        <w:gridCol w:w="5102"/>
        <w:gridCol w:w="3402"/>
        <w:gridCol w:w="3798"/>
      </w:tblGrid>
      <w:tr>
        <w:trPr>
          <w:tblHeader w:val="true"/>
        </w:trPr>
        <w:tc>
          <w:tcPr>
            <w:tcW w:type="dxa" w:w="2835"/>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6"/>
              </w:rPr>
              <w:t>Adressat</w:t>
            </w:r>
          </w:p>
        </w:tc>
        <w:tc>
          <w:tcPr>
            <w:tcW w:type="dxa" w:w="5102"/>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6"/>
              </w:rPr>
              <w:t>Was er braucht</w:t>
            </w:r>
          </w:p>
        </w:tc>
        <w:tc>
          <w:tcPr>
            <w:tcW w:type="dxa" w:w="3402"/>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6"/>
              </w:rPr>
              <w:t>Umfang</w:t>
            </w:r>
          </w:p>
        </w:tc>
        <w:tc>
          <w:tcPr>
            <w:tcW w:type="dxa" w:w="3798"/>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6"/>
              </w:rPr>
              <w:t>Wann</w:t>
            </w:r>
          </w:p>
        </w:tc>
      </w:tr>
      <w:tr>
        <w:trPr>
          <w:cantSplit w:val="true"/>
        </w:trPr>
        <w:tc>
          <w:tcPr>
            <w:tcW w:type="dxa" w:w="2835"/>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sz w:val="16"/>
              </w:rPr>
              <w:t>Bereichsleitung</w:t>
            </w:r>
          </w:p>
        </w:tc>
        <w:tc>
          <w:tcPr>
            <w:tcW w:type="dxa" w:w="5102"/>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6"/>
              </w:rPr>
              <w:t>Alle Feststellungen ihres Bereichs mit Ort, Zeit und Nachweis</w:t>
            </w:r>
          </w:p>
        </w:tc>
        <w:tc>
          <w:tcPr>
            <w:tcW w:type="dxa" w:w="3402"/>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6"/>
              </w:rPr>
              <w:t>Technischer Bericht</w:t>
            </w:r>
          </w:p>
        </w:tc>
        <w:tc>
          <w:tcPr>
            <w:tcW w:type="dxa" w:w="379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6"/>
              </w:rPr>
              <w:t>Unmittelbar nach dem Audit</w:t>
            </w:r>
          </w:p>
        </w:tc>
      </w:tr>
      <w:tr>
        <w:trPr>
          <w:cantSplit w:val="true"/>
        </w:trPr>
        <w:tc>
          <w:tcPr>
            <w:tcW w:type="dxa" w:w="2835"/>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i w:val="0"/>
                <w:sz w:val="16"/>
              </w:rPr>
              <w:t>Direktion</w:t>
            </w:r>
          </w:p>
        </w:tc>
        <w:tc>
          <w:tcPr>
            <w:tcW w:type="dxa" w:w="5102"/>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6"/>
              </w:rPr>
              <w:t>Die drei Entscheidungen und den Stand des Übrigen</w:t>
            </w:r>
          </w:p>
        </w:tc>
        <w:tc>
          <w:tcPr>
            <w:tcW w:type="dxa" w:w="3402"/>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6"/>
              </w:rPr>
              <w:t>Eine Seite</w:t>
            </w:r>
          </w:p>
        </w:tc>
        <w:tc>
          <w:tcPr>
            <w:tcW w:type="dxa" w:w="3798"/>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6"/>
              </w:rPr>
              <w:t>In der nächsten Leitungsrunde, mündlich vorgetragen</w:t>
            </w:r>
          </w:p>
        </w:tc>
      </w:tr>
      <w:tr>
        <w:trPr>
          <w:cantSplit w:val="true"/>
        </w:trPr>
        <w:tc>
          <w:tcPr>
            <w:tcW w:type="dxa" w:w="2835"/>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sz w:val="16"/>
              </w:rPr>
              <w:t>Vertretung der Beschäftigten</w:t>
            </w:r>
          </w:p>
        </w:tc>
        <w:tc>
          <w:tcPr>
            <w:tcW w:type="dxa" w:w="5102"/>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6"/>
              </w:rPr>
              <w:t>Dasselbe wie die Direktion</w:t>
            </w:r>
          </w:p>
        </w:tc>
        <w:tc>
          <w:tcPr>
            <w:tcW w:type="dxa" w:w="3402"/>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6"/>
              </w:rPr>
              <w:t>Eine Seite</w:t>
            </w:r>
          </w:p>
        </w:tc>
        <w:tc>
          <w:tcPr>
            <w:tcW w:type="dxa" w:w="379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6"/>
              </w:rPr>
              <w:t>Zeitgleich mit der Direktion</w:t>
            </w:r>
          </w:p>
        </w:tc>
      </w:tr>
      <w:tr>
        <w:trPr>
          <w:cantSplit w:val="true"/>
        </w:trPr>
        <w:tc>
          <w:tcPr>
            <w:tcW w:type="dxa" w:w="2835"/>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i w:val="0"/>
                <w:sz w:val="16"/>
              </w:rPr>
              <w:t>Eigentümerschaft</w:t>
            </w:r>
          </w:p>
        </w:tc>
        <w:tc>
          <w:tcPr>
            <w:tcW w:type="dxa" w:w="5102"/>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6"/>
              </w:rPr>
              <w:t>Die Entwicklung über Jahre und die Risiken für den Betrieb</w:t>
            </w:r>
          </w:p>
        </w:tc>
        <w:tc>
          <w:tcPr>
            <w:tcW w:type="dxa" w:w="3402"/>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6"/>
              </w:rPr>
              <w:t>Eine Seite im Jahr</w:t>
            </w:r>
          </w:p>
        </w:tc>
        <w:tc>
          <w:tcPr>
            <w:tcW w:type="dxa" w:w="3798"/>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6"/>
              </w:rPr>
              <w:t>Mit dem Jahresabschluss oder in der Managementbewertung</w:t>
            </w:r>
          </w:p>
        </w:tc>
      </w:tr>
      <w:tr>
        <w:trPr>
          <w:cantSplit w:val="true"/>
        </w:trPr>
        <w:tc>
          <w:tcPr>
            <w:tcW w:type="dxa" w:w="2835"/>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sz w:val="16"/>
              </w:rPr>
              <w:t>Belegschaft</w:t>
            </w:r>
          </w:p>
        </w:tc>
        <w:tc>
          <w:tcPr>
            <w:tcW w:type="dxa" w:w="5102"/>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6"/>
              </w:rPr>
              <w:t>Was gefunden wurde und was daraus geworden ist</w:t>
            </w:r>
          </w:p>
        </w:tc>
        <w:tc>
          <w:tcPr>
            <w:tcW w:type="dxa" w:w="3402"/>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6"/>
              </w:rPr>
              <w:t>Wenige Sätze, mündlich oder als Aushang</w:t>
            </w:r>
          </w:p>
        </w:tc>
        <w:tc>
          <w:tcPr>
            <w:tcW w:type="dxa" w:w="379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6"/>
              </w:rPr>
              <w:t>Nach jedem Zyklus</w:t>
            </w:r>
          </w:p>
        </w:tc>
      </w:tr>
    </w:tbl>
    <w:p>
      <w:pPr>
        <w:spacing w:after="0"/>
      </w:pPr>
      <w:r>
        <w:rPr>
          <w:rFonts w:ascii="Aptos" w:hAnsi="Aptos" w:cs="Aptos" w:eastAsia="Aptos"/>
          <w:b w:val="0"/>
          <w:i/>
          <w:color w:val="7A6A55"/>
          <w:sz w:val="17"/>
        </w:rPr>
        <w:t>Natürlicher Ort für die Leitungsfassung: ein ohnehin stattfindendes Gremium (Arbeitsschutzausschuss, Managementbewertung), in dem die Auditergebnisse ein fester Tagesordnungspunkt sind. Die Klausel 9.2.2 verlangt die Berichterstattung der Ergebnisse an die zuständige Leitung, ohne die Form festzulegen; die Klausel 9.3 verlangt als Ergebnis der Managementbewertung Entscheidungen, nicht Kenntnisnahmen.</w:t>
      </w:r>
    </w:p>
    <w:p>
      <w:pPr>
        <w:keepNext/>
        <w:pageBreakBefore/>
        <w:spacing w:before="280" w:after="80"/>
        <w:pBdr>
          <w:bottom w:val="single" w:sz="6" w:space="2" w:color="C9BBA6"/>
        </w:pBdr>
      </w:pPr>
      <w:r>
        <w:rPr>
          <w:rFonts w:ascii="Aptos" w:hAnsi="Aptos" w:cs="Aptos" w:eastAsia="Aptos"/>
          <w:b/>
          <w:color w:val="8C5A2B"/>
          <w:sz w:val="28"/>
        </w:rPr>
        <w:t>Von der Auditsprache in die Leitungssprache</w:t>
      </w:r>
    </w:p>
    <w:p>
      <w:pPr>
        <w:spacing w:after="60"/>
      </w:pPr>
      <w:r>
        <w:rPr>
          <w:rFonts w:ascii="Aptos" w:hAnsi="Aptos" w:cs="Aptos" w:eastAsia="Aptos"/>
          <w:b w:val="0"/>
          <w:i w:val="0"/>
          <w:sz w:val="19"/>
        </w:rPr>
        <w:t>Die Übersetzung ersetzt die Anforderung durch ihre Folge – sie ist keine Vereinfachung und keine Dramatisierung. Die Zeilen mit «Beispiel» stammen aus dem Band; die leeren Zeilen füllen Sie mit Ihren Befunden.</w:t>
      </w:r>
    </w:p>
    <w:tbl>
      <w:tblPr>
        <w:tblW w:type="auto" w:w="0"/>
        <w:jc w:val="center"/>
        <w:tblLayout w:type="fixed"/>
        <w:tblLook w:firstColumn="1" w:firstRow="1" w:lastColumn="0" w:lastRow="0" w:noHBand="0" w:noVBand="1" w:val="04A0"/>
      </w:tblPr>
      <w:tblGrid>
        <w:gridCol w:w="5669"/>
        <w:gridCol w:w="9468"/>
      </w:tblGrid>
      <w:tr>
        <w:trPr>
          <w:tblHeader w:val="true"/>
        </w:trPr>
        <w:tc>
          <w:tcPr>
            <w:tcW w:type="dxa" w:w="5669"/>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So steht es im technischen Bericht</w:t>
            </w:r>
          </w:p>
        </w:tc>
        <w:tc>
          <w:tcPr>
            <w:tcW w:type="dxa" w:w="9468"/>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So gehört es in die Leitungsfassung</w:t>
            </w:r>
          </w:p>
        </w:tc>
      </w:tr>
      <w:tr>
        <w:trPr>
          <w:cantSplit w:val="true"/>
          <w:trHeight w:val="567" w:hRule="atLeast"/>
        </w:trPr>
        <w:tc>
          <w:tcPr>
            <w:tcW w:type="dxa" w:w="5669"/>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Beispiel: Abweichung von 8.1.2: Rangfolge der Maßnahmen nicht durchlaufen</w:t>
            </w:r>
          </w:p>
        </w:tc>
        <w:tc>
          <w:tcPr>
            <w:tcW w:type="dxa" w:w="946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Beispiel: Wir lösen eine Gefährdung mit Schutzausrüstung, obwohl sie technisch lösbar wäre – im Ereignisfall ist das der erste Punkt, den die Aufsicht prüft</w:t>
            </w:r>
          </w:p>
        </w:tc>
      </w:tr>
      <w:tr>
        <w:trPr>
          <w:cantSplit w:val="true"/>
          <w:trHeight w:val="567" w:hRule="atLeast"/>
        </w:trPr>
        <w:tc>
          <w:tcPr>
            <w:tcW w:type="dxa" w:w="5669"/>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t>Beispiel: Unterweisungsnachweise unvollständig</w:t>
            </w:r>
          </w:p>
        </w:tc>
        <w:tc>
          <w:tcPr>
            <w:tcW w:type="dxa" w:w="9468"/>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t>Beispiel: Drei Personen der Wäscherei arbeiten ohne belegte Einweisung an der Chemiedosierung; zwei davon allein in der Frühschicht</w:t>
            </w:r>
          </w:p>
        </w:tc>
      </w:tr>
      <w:tr>
        <w:trPr>
          <w:cantSplit w:val="true"/>
          <w:trHeight w:val="567" w:hRule="atLeast"/>
        </w:trPr>
        <w:tc>
          <w:tcPr>
            <w:tcW w:type="dxa" w:w="5669"/>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Beispiel: Notfallplan nicht aktuell</w:t>
            </w:r>
          </w:p>
        </w:tc>
        <w:tc>
          <w:tcPr>
            <w:tcW w:type="dxa" w:w="946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Beispiel: Die erste Nummer auf dem Alarmblatt erreicht seit zwei Jahren niemanden mehr</w:t>
            </w:r>
          </w:p>
        </w:tc>
      </w:tr>
      <w:tr>
        <w:trPr>
          <w:cantSplit w:val="true"/>
          <w:trHeight w:val="567" w:hRule="atLeast"/>
        </w:trPr>
        <w:tc>
          <w:tcPr>
            <w:tcW w:type="dxa" w:w="5669"/>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t>Beispiel: Wiederholte Feststellung im dritten Zyklus</w:t>
            </w:r>
          </w:p>
        </w:tc>
        <w:tc>
          <w:tcPr>
            <w:tcW w:type="dxa" w:w="9468"/>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t>Beispiel: Dieselbe Gefährdung steht zum dritten Mal im Bericht – wir haben sie dreimal dokumentiert und einmal nicht behoben</w:t>
            </w:r>
          </w:p>
        </w:tc>
      </w:tr>
      <w:tr>
        <w:trPr>
          <w:cantSplit w:val="true"/>
          <w:trHeight w:val="567" w:hRule="atLeast"/>
        </w:trPr>
        <w:tc>
          <w:tcPr>
            <w:tcW w:type="dxa" w:w="5669"/>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Beispiel: Koordination nach 8.1.4.2 nicht nachweisbar</w:t>
            </w:r>
          </w:p>
        </w:tc>
        <w:tc>
          <w:tcPr>
            <w:tcW w:type="dxa" w:w="946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Beispiel: Wir wissen nachts nicht, wer von den Fremdfirmen noch im Haus ist</w:t>
            </w:r>
          </w:p>
        </w:tc>
      </w:tr>
      <w:tr>
        <w:trPr>
          <w:cantSplit w:val="true"/>
          <w:trHeight w:val="567" w:hRule="atLeast"/>
        </w:trPr>
        <w:tc>
          <w:tcPr>
            <w:tcW w:type="dxa" w:w="5669"/>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r>
          </w:p>
        </w:tc>
        <w:tc>
          <w:tcPr>
            <w:tcW w:type="dxa" w:w="9468"/>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r>
          </w:p>
        </w:tc>
      </w:tr>
      <w:tr>
        <w:trPr>
          <w:cantSplit w:val="true"/>
          <w:trHeight w:val="567" w:hRule="atLeast"/>
        </w:trPr>
        <w:tc>
          <w:tcPr>
            <w:tcW w:type="dxa" w:w="5669"/>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946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r>
      <w:tr>
        <w:trPr>
          <w:cantSplit w:val="true"/>
          <w:trHeight w:val="567" w:hRule="atLeast"/>
        </w:trPr>
        <w:tc>
          <w:tcPr>
            <w:tcW w:type="dxa" w:w="5669"/>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r>
          </w:p>
        </w:tc>
        <w:tc>
          <w:tcPr>
            <w:tcW w:type="dxa" w:w="9468"/>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r>
          </w:p>
        </w:tc>
      </w:tr>
    </w:tbl>
    <w:p>
      <w:pPr>
        <w:spacing w:after="60"/>
      </w:pPr>
    </w:p>
    <w:p>
      <w:pPr>
        <w:keepNext/>
        <w:spacing w:before="160" w:after="60"/>
      </w:pPr>
      <w:r>
        <w:rPr>
          <w:rFonts w:ascii="Aptos" w:hAnsi="Aptos" w:cs="Aptos" w:eastAsia="Aptos"/>
          <w:b/>
          <w:color w:val="8C5A2B"/>
          <w:sz w:val="23"/>
        </w:rPr>
        <w:t>Die Zahl, die man nicht hat – drei Auswege (Feld «Kosten und Aufwand»)</w:t>
      </w:r>
    </w:p>
    <w:tbl>
      <w:tblPr>
        <w:tblW w:type="auto" w:w="0"/>
        <w:jc w:val="center"/>
        <w:tblLayout w:type="fixed"/>
        <w:tblLook w:firstColumn="1" w:firstRow="1" w:lastColumn="0" w:lastRow="0" w:noHBand="0" w:noVBand="1" w:val="04A0"/>
      </w:tblPr>
      <w:tblGrid>
        <w:gridCol w:w="2381"/>
        <w:gridCol w:w="4819"/>
        <w:gridCol w:w="2665"/>
        <w:gridCol w:w="2636"/>
        <w:gridCol w:w="2636"/>
      </w:tblGrid>
      <w:tr>
        <w:trPr>
          <w:tblHeader w:val="true"/>
        </w:trPr>
        <w:tc>
          <w:tcPr>
            <w:tcW w:type="dxa" w:w="2381"/>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Ausweg</w:t>
            </w:r>
          </w:p>
        </w:tc>
        <w:tc>
          <w:tcPr>
            <w:tcW w:type="dxa" w:w="4819"/>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So steht es im Band</w:t>
            </w:r>
          </w:p>
        </w:tc>
        <w:tc>
          <w:tcPr>
            <w:tcW w:type="dxa" w:w="2665"/>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Ihr Befund 1</w:t>
            </w:r>
          </w:p>
        </w:tc>
        <w:tc>
          <w:tcPr>
            <w:tcW w:type="dxa" w:w="2636"/>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Ihr Befund 2</w:t>
            </w:r>
          </w:p>
        </w:tc>
        <w:tc>
          <w:tcPr>
            <w:tcW w:type="dxa" w:w="2636"/>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Ihr Befund 3</w:t>
            </w:r>
          </w:p>
        </w:tc>
      </w:tr>
      <w:tr>
        <w:trPr>
          <w:cantSplit w:val="true"/>
          <w:trHeight w:val="737" w:hRule="atLeast"/>
        </w:trPr>
        <w:tc>
          <w:tcPr>
            <w:tcW w:type="dxa" w:w="238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sz w:val="17"/>
              </w:rPr>
              <w:t>Größenordnung statt Betrag</w:t>
            </w:r>
          </w:p>
        </w:tc>
        <w:tc>
          <w:tcPr>
            <w:tcW w:type="dxa" w:w="4819"/>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«unter fünfhundert», «einige Tausend», «fünfstellig»</w:t>
            </w:r>
          </w:p>
        </w:tc>
        <w:tc>
          <w:tcPr>
            <w:tcW w:type="dxa" w:w="2665"/>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2636"/>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2636"/>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r>
      <w:tr>
        <w:trPr>
          <w:cantSplit w:val="true"/>
          <w:trHeight w:val="737" w:hRule="atLeast"/>
        </w:trPr>
        <w:tc>
          <w:tcPr>
            <w:tcW w:type="dxa" w:w="238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i w:val="0"/>
                <w:sz w:val="17"/>
              </w:rPr>
              <w:t>Vergleich</w:t>
            </w:r>
          </w:p>
        </w:tc>
        <w:tc>
          <w:tcPr>
            <w:tcW w:type="dxa" w:w="4819"/>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t>«so viel wie zwei Etagenwagen»</w:t>
            </w:r>
          </w:p>
        </w:tc>
        <w:tc>
          <w:tcPr>
            <w:tcW w:type="dxa" w:w="2665"/>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r>
          </w:p>
        </w:tc>
        <w:tc>
          <w:tcPr>
            <w:tcW w:type="dxa" w:w="2636"/>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r>
          </w:p>
        </w:tc>
        <w:tc>
          <w:tcPr>
            <w:tcW w:type="dxa" w:w="2636"/>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r>
          </w:p>
        </w:tc>
      </w:tr>
      <w:tr>
        <w:trPr>
          <w:cantSplit w:val="true"/>
          <w:trHeight w:val="737" w:hRule="atLeast"/>
        </w:trPr>
        <w:tc>
          <w:tcPr>
            <w:tcW w:type="dxa" w:w="238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sz w:val="17"/>
              </w:rPr>
              <w:t>Geteilte Vorlage</w:t>
            </w:r>
          </w:p>
        </w:tc>
        <w:tc>
          <w:tcPr>
            <w:tcW w:type="dxa" w:w="4819"/>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Nicht «Anlage anschaffen», sondern «drei Angebote einholen» – eine Entscheidung, die nichts kostet und den Vorgang in Bewegung setzt</w:t>
            </w:r>
          </w:p>
        </w:tc>
        <w:tc>
          <w:tcPr>
            <w:tcW w:type="dxa" w:w="2665"/>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2636"/>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2636"/>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r>
    </w:tbl>
    <w:p>
      <w:pPr>
        <w:spacing w:after="0"/>
      </w:pPr>
      <w:r>
        <w:rPr>
          <w:rFonts w:ascii="Aptos" w:hAnsi="Aptos" w:cs="Aptos" w:eastAsia="Aptos"/>
          <w:b w:val="0"/>
          <w:i/>
          <w:color w:val="7A6A55"/>
          <w:sz w:val="17"/>
        </w:rPr>
        <w:t>In allen drei Fällen als Schätzung kennzeichnen: Eine als sicher ausgegebene Zahl, die sich als falsch erweist, beschädigt die Glaubwürdigkeit aller künftigen Vorlagen. Die Schätzung wird mit der Haustechnik gemacht. Ein Vorschlag ohne Größenordnung ist nicht beschlussfähig.</w:t>
      </w:r>
    </w:p>
    <w:p>
      <w:pPr>
        <w:keepNext/>
        <w:pageBreakBefore/>
        <w:spacing w:before="280" w:after="80"/>
        <w:pBdr>
          <w:bottom w:val="single" w:sz="6" w:space="2" w:color="C9BBA6"/>
        </w:pBdr>
      </w:pPr>
      <w:r>
        <w:rPr>
          <w:rFonts w:ascii="Aptos" w:hAnsi="Aptos" w:cs="Aptos" w:eastAsia="Aptos"/>
          <w:b/>
          <w:color w:val="8C5A2B"/>
          <w:sz w:val="28"/>
        </w:rPr>
        <w:t>Der Vortrag: fünf Minuten, drei Fragen</w:t>
      </w:r>
    </w:p>
    <w:tbl>
      <w:tblPr>
        <w:tblW w:type="auto" w:w="0"/>
        <w:jc w:val="center"/>
        <w:tblLayout w:type="fixed"/>
        <w:tblLook w:firstColumn="1" w:firstRow="1" w:lastColumn="0" w:lastRow="0" w:noHBand="0" w:noVBand="1" w:val="04A0"/>
      </w:tblPr>
      <w:tblGrid>
        <w:gridCol w:w="2835"/>
        <w:gridCol w:w="1984"/>
        <w:gridCol w:w="10318"/>
      </w:tblGrid>
      <w:tr>
        <w:trPr>
          <w:tblHeader w:val="true"/>
        </w:trPr>
        <w:tc>
          <w:tcPr>
            <w:tcW w:type="dxa" w:w="2835"/>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8"/>
              </w:rPr>
              <w:t>Schritt</w:t>
            </w:r>
          </w:p>
        </w:tc>
        <w:tc>
          <w:tcPr>
            <w:tcW w:type="dxa" w:w="1984"/>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8"/>
              </w:rPr>
              <w:t>Dauer</w:t>
            </w:r>
          </w:p>
        </w:tc>
        <w:tc>
          <w:tcPr>
            <w:tcW w:type="dxa" w:w="10318"/>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8"/>
              </w:rPr>
              <w:t>Inhalt</w:t>
            </w:r>
          </w:p>
        </w:tc>
      </w:tr>
      <w:tr>
        <w:trPr>
          <w:cantSplit w:val="true"/>
        </w:trPr>
        <w:tc>
          <w:tcPr>
            <w:tcW w:type="dxa" w:w="2835"/>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sz w:val="18"/>
              </w:rPr>
              <w:t>Zyklus</w:t>
            </w:r>
          </w:p>
        </w:tc>
        <w:tc>
          <w:tcPr>
            <w:tcW w:type="dxa" w:w="198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ein Satz</w:t>
            </w:r>
          </w:p>
        </w:tc>
        <w:tc>
          <w:tcPr>
            <w:tcW w:type="dxa" w:w="1031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Wie viele Audits, welche Bereiche, wie viele Feststellungen insgesamt</w:t>
            </w:r>
          </w:p>
        </w:tc>
      </w:tr>
      <w:tr>
        <w:trPr>
          <w:cantSplit w:val="true"/>
        </w:trPr>
        <w:tc>
          <w:tcPr>
            <w:tcW w:type="dxa" w:w="2835"/>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i w:val="0"/>
                <w:sz w:val="18"/>
              </w:rPr>
              <w:t>Die drei Befunde</w:t>
            </w:r>
          </w:p>
        </w:tc>
        <w:tc>
          <w:tcPr>
            <w:tcW w:type="dxa" w:w="1984"/>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t>je eine Minute</w:t>
            </w:r>
          </w:p>
        </w:tc>
        <w:tc>
          <w:tcPr>
            <w:tcW w:type="dxa" w:w="10318"/>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t>Jeder nach demselben Muster: was ist, was daraus werden kann, was ich vorschlage, was es kostet</w:t>
            </w:r>
          </w:p>
        </w:tc>
      </w:tr>
      <w:tr>
        <w:trPr>
          <w:cantSplit w:val="true"/>
        </w:trPr>
        <w:tc>
          <w:tcPr>
            <w:tcW w:type="dxa" w:w="2835"/>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sz w:val="18"/>
              </w:rPr>
              <w:t>Stand des Übrigen</w:t>
            </w:r>
          </w:p>
        </w:tc>
        <w:tc>
          <w:tcPr>
            <w:tcW w:type="dxa" w:w="198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eine Minute</w:t>
            </w:r>
          </w:p>
        </w:tc>
        <w:tc>
          <w:tcPr>
            <w:tcW w:type="dxa" w:w="1031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8"/>
              </w:rPr>
              <w:t>«___ weitere Feststellungen in Bearbeitung, Stand im Anhang.»</w:t>
            </w:r>
          </w:p>
        </w:tc>
      </w:tr>
      <w:tr>
        <w:trPr>
          <w:cantSplit w:val="true"/>
        </w:trPr>
        <w:tc>
          <w:tcPr>
            <w:tcW w:type="dxa" w:w="2835"/>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i w:val="0"/>
                <w:sz w:val="18"/>
              </w:rPr>
              <w:t>Schweigen</w:t>
            </w:r>
          </w:p>
        </w:tc>
        <w:tc>
          <w:tcPr>
            <w:tcW w:type="dxa" w:w="1984"/>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t>–</w:t>
            </w:r>
          </w:p>
        </w:tc>
        <w:tc>
          <w:tcPr>
            <w:tcW w:type="dxa" w:w="10318"/>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8"/>
              </w:rPr>
              <w:t>Die drei Fragen sind gestellt; die Antwort gehört der Leitung. Nicht nachschieben, den Vorschlag nicht gegen den ersten Einwand verteidigen – ein Einwand enthält häufig eine Bedingung, unter der beschlossen wird.</w:t>
            </w:r>
          </w:p>
        </w:tc>
      </w:tr>
    </w:tbl>
    <w:p>
      <w:pPr>
        <w:spacing w:after="60"/>
      </w:pPr>
    </w:p>
    <w:p>
      <w:pPr>
        <w:keepNext/>
        <w:spacing w:before="160" w:after="60"/>
      </w:pPr>
      <w:r>
        <w:rPr>
          <w:rFonts w:ascii="Aptos" w:hAnsi="Aptos" w:cs="Aptos" w:eastAsia="Aptos"/>
          <w:b/>
          <w:color w:val="8C5A2B"/>
          <w:sz w:val="23"/>
        </w:rPr>
        <w:t>Die drei wahrscheinlichsten Einwände – vorher durchdenken (zehn Minuten)</w:t>
      </w:r>
    </w:p>
    <w:p>
      <w:pPr>
        <w:spacing w:after="60"/>
      </w:pPr>
      <w:r>
        <w:rPr>
          <w:rFonts w:ascii="Aptos" w:hAnsi="Aptos" w:cs="Aptos" w:eastAsia="Aptos"/>
          <w:b w:val="0"/>
          <w:i w:val="0"/>
          <w:sz w:val="18"/>
        </w:rPr>
        <w:t>Im Gastgewerbe sind es laut Band fast immer dieselben: kein Budget in diesem Jahr, keine Zeit in der Saison, und die Frage, ob es nicht auch billiger geht. Für alle drei gibt es eine sachliche Antwort. Tragen Sie sie je Befund ein; dazu die Übergangsmaßnahme, die weniger kostet und weniger wirkt, aber besser ist als nichts.</w:t>
      </w:r>
    </w:p>
    <w:tbl>
      <w:tblPr>
        <w:tblW w:type="auto" w:w="0"/>
        <w:jc w:val="center"/>
        <w:tblLayout w:type="fixed"/>
        <w:tblLook w:firstColumn="1" w:firstRow="1" w:lastColumn="0" w:lastRow="0" w:noHBand="0" w:noVBand="1" w:val="04A0"/>
      </w:tblPr>
      <w:tblGrid>
        <w:gridCol w:w="4252"/>
        <w:gridCol w:w="3628"/>
        <w:gridCol w:w="3628"/>
        <w:gridCol w:w="3628"/>
      </w:tblGrid>
      <w:tr>
        <w:trPr>
          <w:tblHeader w:val="true"/>
        </w:trPr>
        <w:tc>
          <w:tcPr>
            <w:tcW w:type="dxa" w:w="4252"/>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r>
          </w:p>
        </w:tc>
        <w:tc>
          <w:tcPr>
            <w:tcW w:type="dxa" w:w="3628"/>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Befund 1</w:t>
            </w:r>
          </w:p>
        </w:tc>
        <w:tc>
          <w:tcPr>
            <w:tcW w:type="dxa" w:w="3628"/>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Befund 2</w:t>
            </w:r>
          </w:p>
        </w:tc>
        <w:tc>
          <w:tcPr>
            <w:tcW w:type="dxa" w:w="3628"/>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Befund 3</w:t>
            </w:r>
          </w:p>
        </w:tc>
      </w:tr>
      <w:tr>
        <w:trPr>
          <w:cantSplit w:val="true"/>
          <w:trHeight w:val="1134" w:hRule="atLeast"/>
        </w:trPr>
        <w:tc>
          <w:tcPr>
            <w:tcW w:type="dxa" w:w="4252"/>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sz w:val="17"/>
              </w:rPr>
              <w:t>Einwand «Kein Budget in diesem Jahr» – meine Antwort</w:t>
            </w:r>
          </w:p>
        </w:tc>
        <w:tc>
          <w:tcPr>
            <w:tcW w:type="dxa" w:w="362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362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362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r>
      <w:tr>
        <w:trPr>
          <w:cantSplit w:val="true"/>
          <w:trHeight w:val="1134" w:hRule="atLeast"/>
        </w:trPr>
        <w:tc>
          <w:tcPr>
            <w:tcW w:type="dxa" w:w="4252"/>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i w:val="0"/>
                <w:sz w:val="17"/>
              </w:rPr>
              <w:t>Einwand «Keine Zeit in der Saison» – meine Antwort</w:t>
            </w:r>
          </w:p>
        </w:tc>
        <w:tc>
          <w:tcPr>
            <w:tcW w:type="dxa" w:w="3628"/>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r>
          </w:p>
        </w:tc>
        <w:tc>
          <w:tcPr>
            <w:tcW w:type="dxa" w:w="3628"/>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r>
          </w:p>
        </w:tc>
        <w:tc>
          <w:tcPr>
            <w:tcW w:type="dxa" w:w="3628"/>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r>
          </w:p>
        </w:tc>
      </w:tr>
      <w:tr>
        <w:trPr>
          <w:cantSplit w:val="true"/>
          <w:trHeight w:val="1134" w:hRule="atLeast"/>
        </w:trPr>
        <w:tc>
          <w:tcPr>
            <w:tcW w:type="dxa" w:w="4252"/>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sz w:val="17"/>
              </w:rPr>
              <w:t>Einwand «Geht es nicht auch billiger?» – meine Antwort</w:t>
            </w:r>
          </w:p>
        </w:tc>
        <w:tc>
          <w:tcPr>
            <w:tcW w:type="dxa" w:w="362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362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362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r>
      <w:tr>
        <w:trPr>
          <w:cantSplit w:val="true"/>
          <w:trHeight w:val="1134" w:hRule="atLeast"/>
        </w:trPr>
        <w:tc>
          <w:tcPr>
            <w:tcW w:type="dxa" w:w="4252"/>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i w:val="0"/>
                <w:sz w:val="17"/>
              </w:rPr>
              <w:t>Übergangsmaßnahme, falls die volle Maßnahme abgelehnt wird (Kosten, Wirkung, Befristung)</w:t>
            </w:r>
          </w:p>
        </w:tc>
        <w:tc>
          <w:tcPr>
            <w:tcW w:type="dxa" w:w="3628"/>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r>
          </w:p>
        </w:tc>
        <w:tc>
          <w:tcPr>
            <w:tcW w:type="dxa" w:w="3628"/>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r>
          </w:p>
        </w:tc>
        <w:tc>
          <w:tcPr>
            <w:tcW w:type="dxa" w:w="3628"/>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r>
          </w:p>
        </w:tc>
      </w:tr>
    </w:tbl>
    <w:p>
      <w:pPr>
        <w:keepNext/>
        <w:pageBreakBefore/>
        <w:spacing w:before="280" w:after="80"/>
        <w:pBdr>
          <w:bottom w:val="single" w:sz="6" w:space="2" w:color="C9BBA6"/>
        </w:pBdr>
      </w:pPr>
      <w:r>
        <w:rPr>
          <w:rFonts w:ascii="Aptos" w:hAnsi="Aptos" w:cs="Aptos" w:eastAsia="Aptos"/>
          <w:b/>
          <w:color w:val="8C5A2B"/>
          <w:sz w:val="28"/>
        </w:rPr>
        <w:t>Das Protokoll der Entscheidung</w:t>
      </w:r>
    </w:p>
    <w:p>
      <w:pPr>
        <w:spacing w:after="60"/>
      </w:pPr>
      <w:r>
        <w:rPr>
          <w:rFonts w:ascii="Aptos" w:hAnsi="Aptos" w:cs="Aptos" w:eastAsia="Aptos"/>
          <w:b w:val="0"/>
          <w:i w:val="0"/>
          <w:sz w:val="18"/>
        </w:rPr>
        <w:t>Der Auditor bittet ausdrücklich um einen Protokolleintrag – auch bei Ablehnung. Ein abgelehnter, protokollierter Vorschlag ist erheblich wertvoller als einer, der nie gestellt wurde. Ein Protokoll ohne Entscheidung erfüllt die Klausel 9.3 der Sache nach nicht.</w:t>
      </w:r>
    </w:p>
    <w:tbl>
      <w:tblPr>
        <w:tblW w:type="auto" w:w="0"/>
        <w:jc w:val="center"/>
        <w:tblLayout w:type="fixed"/>
        <w:tblLook w:firstColumn="1" w:firstRow="1" w:lastColumn="0" w:lastRow="0" w:noHBand="0" w:noVBand="1" w:val="04A0"/>
      </w:tblPr>
      <w:tblGrid>
        <w:gridCol w:w="1020"/>
        <w:gridCol w:w="3118"/>
        <w:gridCol w:w="2268"/>
        <w:gridCol w:w="4535"/>
        <w:gridCol w:w="2211"/>
        <w:gridCol w:w="1984"/>
      </w:tblGrid>
      <w:tr>
        <w:trPr>
          <w:tblHeader w:val="true"/>
        </w:trPr>
        <w:tc>
          <w:tcPr>
            <w:tcW w:type="dxa" w:w="1020"/>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Befund</w:t>
            </w:r>
          </w:p>
        </w:tc>
        <w:tc>
          <w:tcPr>
            <w:tcW w:type="dxa" w:w="3118"/>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Beschluss</w:t>
            </w:r>
          </w:p>
        </w:tc>
        <w:tc>
          <w:tcPr>
            <w:tcW w:type="dxa" w:w="2268"/>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Freigabe / Ablehnung</w:t>
            </w:r>
          </w:p>
        </w:tc>
        <w:tc>
          <w:tcPr>
            <w:tcW w:type="dxa" w:w="4535"/>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Begründung (bei Ablehnung) und Vermerk zur Wiedervorlage</w:t>
            </w:r>
          </w:p>
        </w:tc>
        <w:tc>
          <w:tcPr>
            <w:tcW w:type="dxa" w:w="2211"/>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Verantwortlich</w:t>
            </w:r>
          </w:p>
        </w:tc>
        <w:tc>
          <w:tcPr>
            <w:tcW w:type="dxa" w:w="1984"/>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Frist / Datum</w:t>
            </w:r>
          </w:p>
        </w:tc>
      </w:tr>
      <w:tr>
        <w:trPr>
          <w:cantSplit w:val="true"/>
          <w:trHeight w:val="623" w:hRule="atLeast"/>
        </w:trPr>
        <w:tc>
          <w:tcPr>
            <w:tcW w:type="dxa" w:w="1020"/>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1</w:t>
            </w:r>
          </w:p>
        </w:tc>
        <w:tc>
          <w:tcPr>
            <w:tcW w:type="dxa" w:w="311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226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 Freigabe   ☐ Ablehnung</w:t>
            </w:r>
          </w:p>
        </w:tc>
        <w:tc>
          <w:tcPr>
            <w:tcW w:type="dxa" w:w="4535"/>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221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198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r>
      <w:tr>
        <w:trPr>
          <w:cantSplit w:val="true"/>
          <w:trHeight w:val="623" w:hRule="atLeast"/>
        </w:trPr>
        <w:tc>
          <w:tcPr>
            <w:tcW w:type="dxa" w:w="1020"/>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t>2</w:t>
            </w:r>
          </w:p>
        </w:tc>
        <w:tc>
          <w:tcPr>
            <w:tcW w:type="dxa" w:w="3118"/>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r>
          </w:p>
        </w:tc>
        <w:tc>
          <w:tcPr>
            <w:tcW w:type="dxa" w:w="2268"/>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t>☐ Freigabe   ☐ Ablehnung</w:t>
            </w:r>
          </w:p>
        </w:tc>
        <w:tc>
          <w:tcPr>
            <w:tcW w:type="dxa" w:w="4535"/>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r>
          </w:p>
        </w:tc>
        <w:tc>
          <w:tcPr>
            <w:tcW w:type="dxa" w:w="221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r>
          </w:p>
        </w:tc>
        <w:tc>
          <w:tcPr>
            <w:tcW w:type="dxa" w:w="1984"/>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7"/>
              </w:rPr>
            </w:r>
          </w:p>
        </w:tc>
      </w:tr>
      <w:tr>
        <w:trPr>
          <w:cantSplit w:val="true"/>
          <w:trHeight w:val="623" w:hRule="atLeast"/>
        </w:trPr>
        <w:tc>
          <w:tcPr>
            <w:tcW w:type="dxa" w:w="1020"/>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3</w:t>
            </w:r>
          </w:p>
        </w:tc>
        <w:tc>
          <w:tcPr>
            <w:tcW w:type="dxa" w:w="311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226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 Freigabe   ☐ Ablehnung</w:t>
            </w:r>
          </w:p>
        </w:tc>
        <w:tc>
          <w:tcPr>
            <w:tcW w:type="dxa" w:w="4535"/>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221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198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r>
    </w:tbl>
    <w:p>
      <w:pPr>
        <w:spacing w:after="40"/>
      </w:pPr>
    </w:p>
    <w:tbl>
      <w:tblPr>
        <w:tblW w:type="auto" w:w="0"/>
        <w:tblLayout w:type="fixed"/>
        <w:tblLook w:firstColumn="1" w:firstRow="1" w:lastColumn="0" w:lastRow="0" w:noHBand="0" w:noVBand="1" w:val="04A0"/>
      </w:tblPr>
      <w:tblGrid>
        <w:gridCol w:w="7483"/>
        <w:gridCol w:w="7654"/>
      </w:tblGrid>
      <w:tr>
        <w:tc>
          <w:tcPr>
            <w:tcW w:type="dxa" w:w="7483"/>
            <w:tcBorders>
              <w:top w:val="single" w:sz="4" w:space="0" w:color="C9BBA6"/>
              <w:left w:val="single" w:sz="4" w:space="0" w:color="C9BBA6"/>
              <w:bottom w:val="single" w:sz="4" w:space="0" w:color="C9BBA6"/>
              <w:right w:val="single" w:sz="4" w:space="0" w:color="C9BBA6"/>
            </w:tcBorders>
            <w:shd w:val="clear" w:color="auto" w:fill="EFE7DC"/>
          </w:tcPr>
          <w:p>
            <w:pPr>
              <w:spacing w:after="0"/>
            </w:pPr>
            <w:r>
              <w:rPr>
                <w:rFonts w:ascii="Aptos" w:hAnsi="Aptos" w:cs="Aptos" w:eastAsia="Aptos"/>
                <w:b/>
                <w:i w:val="0"/>
                <w:color w:val="8C5A2B"/>
                <w:sz w:val="19"/>
              </w:rPr>
              <w:t>Wenn dieselbe Vorlage abgelehnt wurde – die «dritte Vorlage»</w:t>
            </w:r>
          </w:p>
          <w:p>
            <w:pPr>
              <w:spacing w:after="20"/>
            </w:pPr>
            <w:r>
              <w:rPr>
                <w:rFonts w:ascii="Aptos" w:hAnsi="Aptos" w:cs="Aptos" w:eastAsia="Aptos"/>
                <w:b w:val="0"/>
                <w:i w:val="0"/>
                <w:sz w:val="17"/>
              </w:rPr>
              <w:t>Die Ablehnung ist zulässig; die Leitung trägt die Verantwortung. Der Auditor drängt nicht.</w:t>
            </w:r>
          </w:p>
          <w:p>
            <w:pPr>
              <w:spacing w:after="20"/>
            </w:pPr>
            <w:r>
              <w:rPr>
                <w:rFonts w:ascii="Aptos" w:hAnsi="Aptos" w:cs="Aptos" w:eastAsia="Aptos"/>
                <w:b w:val="0"/>
                <w:i w:val="0"/>
                <w:sz w:val="17"/>
              </w:rPr>
              <w:t>☐ Entscheidung samt Begründung und Sachverhalt ist protokolliert</w:t>
            </w:r>
          </w:p>
          <w:p>
            <w:pPr>
              <w:spacing w:after="20"/>
            </w:pPr>
            <w:r>
              <w:rPr>
                <w:rFonts w:ascii="Aptos" w:hAnsi="Aptos" w:cs="Aptos" w:eastAsia="Aptos"/>
                <w:b w:val="0"/>
                <w:i w:val="0"/>
                <w:sz w:val="17"/>
              </w:rPr>
              <w:t>☐ Die Vorlage wird im nächsten Zyklus erneut gestellt, wenn der Sachverhalt fortbesteht – mit dem Zusatz: «Dies ist die ___ Vorlage.»</w:t>
            </w:r>
          </w:p>
          <w:p>
            <w:pPr>
              <w:spacing w:after="20"/>
            </w:pPr>
            <w:r>
              <w:rPr>
                <w:rFonts w:ascii="Aptos" w:hAnsi="Aptos" w:cs="Aptos" w:eastAsia="Aptos"/>
                <w:b w:val="0"/>
                <w:i w:val="0"/>
                <w:sz w:val="17"/>
              </w:rPr>
              <w:t>☐ Eine Übergangsmaßnahme ist vorgeschlagen (weniger Kosten, weniger Wirkung, besser als nichts)</w:t>
            </w:r>
          </w:p>
          <w:p>
            <w:pPr>
              <w:spacing w:after="20"/>
            </w:pPr>
            <w:r>
              <w:rPr>
                <w:rFonts w:ascii="Aptos" w:hAnsi="Aptos" w:cs="Aptos" w:eastAsia="Aptos"/>
                <w:b w:val="0"/>
                <w:i w:val="0"/>
                <w:sz w:val="17"/>
              </w:rPr>
              <w:t>☐ Der Hinweis ist gegeben – sachlich, ohne Drohton, genau einmal, in der Vorlage: Eine bekannte, dokumentierte und bewusst nicht behobene Gefährdung ist im Ereignisfall eine andere Ausgangslage als eine unerkannte.</w:t>
            </w:r>
          </w:p>
        </w:tc>
        <w:tc>
          <w:tcPr>
            <w:tcW w:type="dxa" w:w="7483"/>
            <w:tcBorders>
              <w:top w:val="single" w:sz="4" w:space="0" w:color="C9BBA6"/>
              <w:left w:val="single" w:sz="4" w:space="0" w:color="C9BBA6"/>
              <w:bottom w:val="single" w:sz="4" w:space="0" w:color="C9BBA6"/>
              <w:right w:val="single" w:sz="4" w:space="0" w:color="C9BBA6"/>
            </w:tcBorders>
          </w:tcPr>
          <w:p>
            <w:pPr>
              <w:spacing w:after="0"/>
            </w:pPr>
            <w:r>
              <w:rPr>
                <w:rFonts w:ascii="Aptos" w:hAnsi="Aptos" w:cs="Aptos" w:eastAsia="Aptos"/>
                <w:b/>
                <w:i w:val="0"/>
                <w:color w:val="8C5A2B"/>
                <w:sz w:val="19"/>
              </w:rPr>
              <w:t>Nach der Sitzung</w:t>
            </w:r>
          </w:p>
          <w:p>
            <w:pPr>
              <w:spacing w:after="20"/>
            </w:pPr>
            <w:r>
              <w:rPr>
                <w:rFonts w:ascii="Aptos" w:hAnsi="Aptos" w:cs="Aptos" w:eastAsia="Aptos"/>
                <w:b w:val="0"/>
                <w:i w:val="0"/>
                <w:sz w:val="17"/>
              </w:rPr>
              <w:t>☐ Rückmeldung an die Bereiche: zwei Sätze in der Bereichsbesprechung – «Das haben wir gefunden, das ist daraus geworden.»</w:t>
            </w:r>
          </w:p>
          <w:p>
            <w:pPr>
              <w:spacing w:after="20"/>
            </w:pPr>
            <w:r>
              <w:rPr>
                <w:rFonts w:ascii="Aptos" w:hAnsi="Aptos" w:cs="Aptos" w:eastAsia="Aptos"/>
                <w:b w:val="0"/>
                <w:i w:val="0"/>
                <w:sz w:val="17"/>
              </w:rPr>
              <w:t>☐ Vertretung der Beschäftigten hat die Seite zeitgleich mit der Direktion erhalten; relevante Ergebnisse der Managementbewertung sind den Beschäftigten mitgeteilt (Klausel 9.3)</w:t>
            </w:r>
          </w:p>
          <w:p>
            <w:pPr>
              <w:spacing w:after="20"/>
            </w:pPr>
            <w:r>
              <w:rPr>
                <w:rFonts w:ascii="Aptos" w:hAnsi="Aptos" w:cs="Aptos" w:eastAsia="Aptos"/>
                <w:b w:val="0"/>
                <w:i w:val="0"/>
                <w:sz w:val="17"/>
              </w:rPr>
              <w:t>☐ Eigentümerschaft: eine Seite im Jahr (vier Blöcke: Ausfalltage über drei Jahre · offene Punkte mit Budgetbedarf und Größenordnung · zwei bis drei Sachverhalte, die im Ereignisfall die Organisation betreffen · Aussage, ob das Haus seine Pflichten nachweisbar erfüllt)</w:t>
            </w:r>
          </w:p>
          <w:p>
            <w:pPr>
              <w:spacing w:after="20"/>
            </w:pPr>
            <w:r>
              <w:rPr>
                <w:rFonts w:ascii="Aptos" w:hAnsi="Aptos" w:cs="Aptos" w:eastAsia="Aptos"/>
                <w:b w:val="0"/>
                <w:i w:val="0"/>
                <w:sz w:val="17"/>
              </w:rPr>
              <w:t>Zu überwachen (Band): Anteil der Vorschläge mit dokumentierter Entscheidung – Zustimmung oder Ablehnung: ____ von ____ · Zahl der offenen Punkte mit Budgetbedarf: ____</w:t>
            </w:r>
          </w:p>
        </w:tc>
      </w:tr>
    </w:tbl>
    <w:p>
      <w:pPr>
        <w:spacing w:after="40"/>
      </w:pPr>
    </w:p>
    <w:p>
      <w:pPr>
        <w:keepNext/>
        <w:spacing w:before="160" w:after="60"/>
      </w:pPr>
      <w:r>
        <w:rPr>
          <w:rFonts w:ascii="Aptos" w:hAnsi="Aptos" w:cs="Aptos" w:eastAsia="Aptos"/>
          <w:b/>
          <w:color w:val="8C5A2B"/>
          <w:sz w:val="23"/>
        </w:rPr>
        <w:t>Kennzahlen, die eine Hoteldirektion versteht (Auswahl für die Zeile «Stand des Übrigen» – Werte trägt das Haus ein)</w:t>
      </w:r>
    </w:p>
    <w:tbl>
      <w:tblPr>
        <w:tblW w:type="auto" w:w="0"/>
        <w:jc w:val="center"/>
        <w:tblLayout w:type="fixed"/>
        <w:tblLook w:firstColumn="1" w:firstRow="1" w:lastColumn="0" w:lastRow="0" w:noHBand="0" w:noVBand="1" w:val="04A0"/>
      </w:tblPr>
      <w:tblGrid>
        <w:gridCol w:w="4535"/>
        <w:gridCol w:w="7370"/>
        <w:gridCol w:w="3231"/>
      </w:tblGrid>
      <w:tr>
        <w:trPr>
          <w:tblHeader w:val="true"/>
        </w:trPr>
        <w:tc>
          <w:tcPr>
            <w:tcW w:type="dxa" w:w="4535"/>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6"/>
              </w:rPr>
              <w:t>Kennzahl</w:t>
            </w:r>
          </w:p>
        </w:tc>
        <w:tc>
          <w:tcPr>
            <w:tcW w:type="dxa" w:w="7370"/>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6"/>
              </w:rPr>
              <w:t>Warum sie in der Direktion ankommt</w:t>
            </w:r>
          </w:p>
        </w:tc>
        <w:tc>
          <w:tcPr>
            <w:tcW w:type="dxa" w:w="3231"/>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6"/>
              </w:rPr>
              <w:t>Wert des Hauses</w:t>
            </w:r>
          </w:p>
        </w:tc>
      </w:tr>
      <w:tr>
        <w:trPr>
          <w:cantSplit w:val="true"/>
          <w:trHeight w:val="311" w:hRule="atLeast"/>
        </w:trPr>
        <w:tc>
          <w:tcPr>
            <w:tcW w:type="dxa" w:w="4535"/>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sz w:val="16"/>
              </w:rPr>
              <w:t>Ausfalltage je Bereich</w:t>
            </w:r>
          </w:p>
        </w:tc>
        <w:tc>
          <w:tcPr>
            <w:tcW w:type="dxa" w:w="7370"/>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6"/>
              </w:rPr>
              <w:t>Direkt in Personalkosten und Dienstplanlücken übersetzbar</w:t>
            </w:r>
          </w:p>
        </w:tc>
        <w:tc>
          <w:tcPr>
            <w:tcW w:type="dxa" w:w="323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6"/>
              </w:rPr>
            </w:r>
          </w:p>
        </w:tc>
      </w:tr>
      <w:tr>
        <w:trPr>
          <w:cantSplit w:val="true"/>
          <w:trHeight w:val="311" w:hRule="atLeast"/>
        </w:trPr>
        <w:tc>
          <w:tcPr>
            <w:tcW w:type="dxa" w:w="4535"/>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i w:val="0"/>
                <w:sz w:val="16"/>
              </w:rPr>
              <w:t>Wiederholungsquote der Feststellungen</w:t>
            </w:r>
          </w:p>
        </w:tc>
        <w:tc>
          <w:tcPr>
            <w:tcW w:type="dxa" w:w="7370"/>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6"/>
              </w:rPr>
              <w:t>Zeigt, wie viel Arbeit ohne Ertrag geleistet wird</w:t>
            </w:r>
          </w:p>
        </w:tc>
        <w:tc>
          <w:tcPr>
            <w:tcW w:type="dxa" w:w="323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6"/>
              </w:rPr>
            </w:r>
          </w:p>
        </w:tc>
      </w:tr>
      <w:tr>
        <w:trPr>
          <w:cantSplit w:val="true"/>
          <w:trHeight w:val="311" w:hRule="atLeast"/>
        </w:trPr>
        <w:tc>
          <w:tcPr>
            <w:tcW w:type="dxa" w:w="4535"/>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sz w:val="16"/>
              </w:rPr>
              <w:t>Zahl der gemeldeten Beinaheunfälle</w:t>
            </w:r>
          </w:p>
        </w:tc>
        <w:tc>
          <w:tcPr>
            <w:tcW w:type="dxa" w:w="7370"/>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6"/>
              </w:rPr>
              <w:t>Frühwarnung – steigend ist gut, das muss erklärt werden</w:t>
            </w:r>
          </w:p>
        </w:tc>
        <w:tc>
          <w:tcPr>
            <w:tcW w:type="dxa" w:w="323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6"/>
              </w:rPr>
            </w:r>
          </w:p>
        </w:tc>
      </w:tr>
      <w:tr>
        <w:trPr>
          <w:cantSplit w:val="true"/>
          <w:trHeight w:val="311" w:hRule="atLeast"/>
        </w:trPr>
        <w:tc>
          <w:tcPr>
            <w:tcW w:type="dxa" w:w="4535"/>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i w:val="0"/>
                <w:sz w:val="16"/>
              </w:rPr>
              <w:t>Offene Punkte mit Budgetbedarf</w:t>
            </w:r>
          </w:p>
        </w:tc>
        <w:tc>
          <w:tcPr>
            <w:tcW w:type="dxa" w:w="7370"/>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6"/>
              </w:rPr>
              <w:t>Macht sichtbar, was das Haus weiß und nicht behoben hat</w:t>
            </w:r>
          </w:p>
        </w:tc>
        <w:tc>
          <w:tcPr>
            <w:tcW w:type="dxa" w:w="3231"/>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6"/>
              </w:rPr>
            </w:r>
          </w:p>
        </w:tc>
      </w:tr>
    </w:tbl>
    <w:p>
      <w:pPr>
        <w:keepNext/>
        <w:spacing w:before="160" w:after="60"/>
      </w:pPr>
      <w:r>
        <w:rPr>
          <w:rFonts w:ascii="Aptos" w:hAnsi="Aptos" w:cs="Aptos" w:eastAsia="Aptos"/>
          <w:b/>
          <w:color w:val="8C5A2B"/>
          <w:sz w:val="23"/>
        </w:rPr>
        <w:t>Was diese Vorlage nicht ist</w:t>
      </w:r>
    </w:p>
    <w:p>
      <w:pPr>
        <w:jc w:val="both"/>
      </w:pPr>
      <w:r>
        <w:rPr>
          <w:rFonts w:ascii="Aptos" w:hAnsi="Aptos" w:cs="Aptos" w:eastAsia="Aptos"/>
          <w:b w:val="0"/>
          <w:i w:val="0"/>
          <w:sz w:val="17"/>
        </w:rPr>
        <w:t>Diese Vorlage ist ein Hilfsmittel für den Blick und die Entscheidung, kein Ablagestück. Sie ersetzt weder die ISO 45001 noch eine Rechtsberatung, weder die Gefährdungsbeurteilung des konkreten Hauses noch ein Audit, und sie trifft keine Aussage über das Urteil einer Zertifizierungsstelle. Verbindlich ist stets die jeweils gültige Fassung von Gesetz und Norm: Maßgeblich ist heute die ISO 45001:2018 (EN ISO 45001:2023, mit Amd 1:2024 zum Klimawandel). Der Entwurf ISO/DIS 45001 (Veröffentlichung für 2027 erwartet) ist nicht bindend; eine ISO 45001:2026 existiert nicht.</w:t>
      </w:r>
    </w:p>
    <w:sectPr w:rsidR="00FC693F" w:rsidRPr="0006063C" w:rsidSect="00034616">
      <w:footerReference w:type="default" r:id="rId9"/>
      <w:pgSz w:w="16838" w:h="11906"/>
      <w:pgMar w:top="680" w:right="850" w:bottom="794" w:left="8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s="Aptos" w:eastAsia="Aptos"/>
        <w:color w:val="7A6A55"/>
        <w:sz w:val="16"/>
      </w:rPr>
      <w:t xml:space="preserve">Das Steuer und die Lupe · Band 3b · ISO 45001 · buecher.effedore.com  ·  Seite </w:t>
    </w:r>
    <w:r>
      <w:rPr>
        <w:rFonts w:ascii="Aptos" w:hAnsi="Aptos" w:cs="Aptos" w:eastAsia="Aptos"/>
        <w:color w:val="7A6A55"/>
        <w:sz w:val="16"/>
      </w:rPr>
      <w:fldChar w:fldCharType="begin"/>
      <w:instrText xml:space="preserve"> PAGE </w:instrText>
      <w:fldChar w:fldCharType="separate"/>
      <w:t>1</w: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9" w:lineRule="auto"/>
    </w:pPr>
    <w:rPr>
      <w:rFonts w:ascii="Aptos" w:hAnsi="Aptos" w:eastAsia="Aptos"/>
      <w:color w:val="2B2B2B"/>
      <w:sz w:val="21"/>
      <w:lang w:val="de-D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