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3.4 DES BANDES 3B</w:t>
      </w:r>
    </w:p>
    <w:p>
      <w:pPr>
        <w:spacing w:after="60"/>
        <w:pBdr>
          <w:bottom w:val="single" w:sz="8" w:space="4" w:color="C9BBA6"/>
        </w:pBdr>
      </w:pPr>
      <w:r>
        <w:rPr>
          <w:rFonts w:ascii="Aptos" w:hAnsi="Aptos" w:cs="Aptos" w:eastAsia="Aptos"/>
          <w:b/>
          <w:color w:val="8C5A2B"/>
          <w:sz w:val="42"/>
        </w:rPr>
        <w:t>Notizbogen für Begehung, Beobachtung und Interview</w:t>
      </w:r>
    </w:p>
    <w:p>
      <w:pPr>
        <w:spacing w:before="80" w:after="200"/>
      </w:pPr>
      <w:r>
        <w:rPr>
          <w:rFonts w:ascii="Aptos" w:hAnsi="Aptos" w:cs="Aptos" w:eastAsia="Aptos"/>
          <w:i/>
          <w:color w:val="7A6A55"/>
          <w:sz w:val="21"/>
        </w:rPr>
        <w:t>Die Begehung zeigt, was ist. Die Beobachtung zeigt, was geschieht. Nur das Gespräch zeigt, warum.</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3.4 (mit 3.2: Fragen, die öffnen; 3.3: kritische Stunde; 3.5: Prozesse); Norm: Klauseln 9.2.2, 5.4 und 7.3.</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i w:val="0"/>
                <w:sz w:val="19"/>
              </w:rPr>
              <w:t xml:space="preserve">Ein Hilfsmittel für den Blick, kein Ablagestück. </w:t>
            </w:r>
            <w:r>
              <w:rPr>
                <w:rFonts w:ascii="Aptos" w:hAnsi="Aptos" w:cs="Aptos" w:eastAsia="Aptos"/>
                <w:b w:val="0"/>
                <w:i w:val="0"/>
                <w:sz w:val="19"/>
              </w:rPr>
              <w:t>Das Blatt begleitet Sie durch drei verschiedene Werkzeuge mit drei verschiedenen Erträgen. Die Listen sind eine Gedächtnisstütze, keine Grenze des Blicks: Was Ihnen auffällt und hier nicht steht, gehört auf die freien Zeilen.</w:t>
            </w:r>
          </w:p>
          <w:p>
            <w:pPr>
              <w:spacing w:after="40"/>
              <w:ind w:left="340" w:hanging="340"/>
            </w:pPr>
            <w:r>
              <w:rPr>
                <w:rFonts w:ascii="Aptos" w:hAnsi="Aptos" w:cs="Aptos" w:eastAsia="Aptos"/>
                <w:b/>
                <w:i w:val="0"/>
                <w:color w:val="8C5A2B"/>
                <w:sz w:val="19"/>
              </w:rPr>
              <w:t xml:space="preserve">2.  </w:t>
            </w:r>
            <w:r>
              <w:rPr>
                <w:rFonts w:ascii="Aptos" w:hAnsi="Aptos" w:cs="Aptos" w:eastAsia="Aptos"/>
                <w:b/>
                <w:i w:val="0"/>
                <w:sz w:val="19"/>
              </w:rPr>
              <w:t xml:space="preserve">Die Reihenfolge ist der Kunstgriff: </w:t>
            </w:r>
            <w:r>
              <w:rPr>
                <w:rFonts w:ascii="Aptos" w:hAnsi="Aptos" w:cs="Aptos" w:eastAsia="Aptos"/>
                <w:b w:val="0"/>
                <w:i w:val="0"/>
                <w:sz w:val="19"/>
              </w:rPr>
              <w:t>erst lesen, dann gehen, dann stehen, dann fragen, zuletzt zurück zum Dokument. Beim Stehen schreiben Sie nichts auf; notieren Sie danach.</w:t>
            </w:r>
          </w:p>
          <w:p>
            <w:pPr>
              <w:spacing w:after="40"/>
              <w:ind w:left="340" w:hanging="340"/>
            </w:pPr>
            <w:r>
              <w:rPr>
                <w:rFonts w:ascii="Aptos" w:hAnsi="Aptos" w:cs="Aptos" w:eastAsia="Aptos"/>
                <w:b/>
                <w:i w:val="0"/>
                <w:color w:val="8C5A2B"/>
                <w:sz w:val="19"/>
              </w:rPr>
              <w:t xml:space="preserve">3.  </w:t>
            </w:r>
            <w:r>
              <w:rPr>
                <w:rFonts w:ascii="Aptos" w:hAnsi="Aptos" w:cs="Aptos" w:eastAsia="Aptos"/>
                <w:b/>
                <w:i w:val="0"/>
                <w:sz w:val="19"/>
              </w:rPr>
              <w:t xml:space="preserve">Sachverhalte statt Personen. </w:t>
            </w:r>
            <w:r>
              <w:rPr>
                <w:rFonts w:ascii="Aptos" w:hAnsi="Aptos" w:cs="Aptos" w:eastAsia="Aptos"/>
                <w:b w:val="0"/>
                <w:i w:val="0"/>
                <w:sz w:val="19"/>
              </w:rPr>
              <w:t>Keine Namen, keine Zitate, die auf eine Person zurückführen. Fragen Sie ohne Vorgesetzten.</w:t>
            </w:r>
          </w:p>
          <w:p>
            <w:pPr>
              <w:spacing w:after="40"/>
              <w:ind w:left="340" w:hanging="340"/>
            </w:pPr>
            <w:r>
              <w:rPr>
                <w:rFonts w:ascii="Aptos" w:hAnsi="Aptos" w:cs="Aptos" w:eastAsia="Aptos"/>
                <w:b/>
                <w:i w:val="0"/>
                <w:color w:val="8C5A2B"/>
                <w:sz w:val="19"/>
              </w:rPr>
              <w:t xml:space="preserve">4.  </w:t>
            </w:r>
            <w:r>
              <w:rPr>
                <w:rFonts w:ascii="Aptos" w:hAnsi="Aptos" w:cs="Aptos" w:eastAsia="Aptos"/>
                <w:b/>
                <w:i w:val="0"/>
                <w:sz w:val="19"/>
              </w:rPr>
              <w:t xml:space="preserve">Bei unmittelbarer Gefahr </w:t>
            </w:r>
            <w:r>
              <w:rPr>
                <w:rFonts w:ascii="Aptos" w:hAnsi="Aptos" w:cs="Aptos" w:eastAsia="Aptos"/>
                <w:b w:val="0"/>
                <w:i w:val="0"/>
                <w:sz w:val="19"/>
              </w:rPr>
              <w:t>wird die Beobachtung abgebrochen und eingegriffen.</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Kopf</w:t>
      </w:r>
    </w:p>
    <w:tbl>
      <w:tblPr>
        <w:tblW w:type="auto" w:w="0"/>
        <w:tblLayout w:type="fixed"/>
        <w:tblLook w:firstColumn="1" w:firstRow="1" w:lastColumn="0" w:lastRow="0" w:noHBand="0" w:noVBand="1" w:val="04A0"/>
      </w:tblPr>
      <w:tblGrid>
        <w:gridCol w:w="1814"/>
        <w:gridCol w:w="3005"/>
        <w:gridCol w:w="1814"/>
        <w:gridCol w:w="3005"/>
      </w:tblGrid>
      <w:tr>
        <w:tc>
          <w:tcPr>
            <w:tcW w:type="dxa" w:w="1814"/>
          </w:tcPr>
          <w:p>
            <w:pPr>
              <w:spacing w:after="20"/>
            </w:pPr>
            <w:r>
              <w:rPr>
                <w:rFonts w:ascii="Aptos" w:hAnsi="Aptos" w:cs="Aptos" w:eastAsia="Aptos"/>
                <w:b/>
                <w:i w:val="0"/>
                <w:color w:val="8C5A2B"/>
                <w:sz w:val="19"/>
              </w:rPr>
              <w:t>Datum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Bereich / Prozess</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Beginn – Ende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Auditor/in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Betriebslage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Kritische Stunde (Programm)</w:t>
            </w:r>
          </w:p>
        </w:tc>
        <w:tc>
          <w:tcPr>
            <w:tcW w:type="dxa" w:w="3005"/>
            <w:tcBorders>
              <w:bottom w:val="single" w:sz="6" w:space="0" w:color="C9BBA6"/>
            </w:tcBorders>
          </w:tcPr>
          <w:p>
            <w:pPr>
              <w:spacing w:after="20"/>
            </w:pPr>
          </w:p>
        </w:tc>
      </w:tr>
    </w:tbl>
    <w:p>
      <w:pPr>
        <w:spacing w:after="40"/>
      </w:pPr>
      <w:r>
        <w:rPr>
          <w:rFonts w:ascii="Aptos" w:hAnsi="Aptos" w:cs="Aptos" w:eastAsia="Aptos"/>
          <w:b/>
          <w:i w:val="0"/>
          <w:color w:val="8C5A2B"/>
          <w:sz w:val="19"/>
        </w:rPr>
        <w:t xml:space="preserve">Anlass:  </w:t>
      </w:r>
      <w:r>
        <w:rPr>
          <w:rFonts w:ascii="Aptos" w:hAnsi="Aptos" w:cs="Aptos" w:eastAsia="Aptos"/>
          <w:b w:val="0"/>
          <w:i w:val="0"/>
          <w:sz w:val="19"/>
        </w:rPr>
        <w:t>☐ Jahresraster    ☐ Änderung    ☐ Ereignis        Termin liegt in der kritischen Stunde des Bereichs:  ☐ ja   ☐ nein</w:t>
      </w:r>
    </w:p>
    <w:p>
      <w:pPr>
        <w:spacing w:after="60"/>
      </w:pPr>
      <w:r>
        <w:rPr>
          <w:rFonts w:ascii="Aptos" w:hAnsi="Aptos" w:cs="Aptos" w:eastAsia="Aptos"/>
          <w:b w:val="0"/>
          <w:i/>
          <w:color w:val="7A6A55"/>
          <w:sz w:val="17"/>
        </w:rPr>
        <w:t>Betriebslage: ruhig / Spitze / Nacht. Kein Bereich gilt als auditiert, solange er nicht mindestens einmal zu seiner kritischen Stunde geprüft wurde (Abschnitt 3.3).</w:t>
      </w:r>
    </w:p>
    <w:p>
      <w:pPr>
        <w:keepNext/>
        <w:spacing w:before="160" w:after="60"/>
      </w:pPr>
      <w:r>
        <w:rPr>
          <w:rFonts w:ascii="Aptos" w:hAnsi="Aptos" w:cs="Aptos" w:eastAsia="Aptos"/>
          <w:b/>
          <w:color w:val="8C5A2B"/>
          <w:sz w:val="23"/>
        </w:rPr>
        <w:t>Zeitbudget</w:t>
      </w:r>
    </w:p>
    <w:tbl>
      <w:tblPr>
        <w:tblW w:type="auto" w:w="0"/>
        <w:jc w:val="center"/>
        <w:tblLayout w:type="fixed"/>
        <w:tblLook w:firstColumn="1" w:firstRow="1" w:lastColumn="0" w:lastRow="0" w:noHBand="0" w:noVBand="1" w:val="04A0"/>
      </w:tblPr>
      <w:tblGrid>
        <w:gridCol w:w="4876"/>
        <w:gridCol w:w="1814"/>
        <w:gridCol w:w="1474"/>
        <w:gridCol w:w="1474"/>
      </w:tblGrid>
      <w:tr>
        <w:trPr>
          <w:tblHeader w:val="true"/>
        </w:trPr>
        <w:tc>
          <w:tcPr>
            <w:tcW w:type="dxa" w:w="487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Phase</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Beispiel Kassel (Min.)</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Geplant (Min.)</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Tatsächlich (Min.)</w:t>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Vorbereitung: Gefährdungsbeurteilung und Vorjahresbefunde lesen</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30</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Begehung: Zustand</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40</w:t>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Beobachtung: Handlung, im Stillstand</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50</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Interview: Ursache, ohne Vorgesetzten</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30</w:t>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Rückkopplung an die Gefährdungsbeurteilung</w:t>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20</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311"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Bericht</w:t>
            </w:r>
          </w:p>
        </w:tc>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30</w:t>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pPr>
        <w:spacing w:after="60"/>
      </w:pPr>
      <w:r>
        <w:rPr>
          <w:rFonts w:ascii="Aptos" w:hAnsi="Aptos" w:cs="Aptos" w:eastAsia="Aptos"/>
          <w:b w:val="0"/>
          <w:i/>
          <w:color w:val="7A6A55"/>
          <w:sz w:val="17"/>
        </w:rPr>
        <w:t>Die Zeit ist eine Entscheidung der Leitung, nicht des Auditors; «Beispiel»: Aufteilung des Hauses in Kassel (Abschnitt 3.4).</w:t>
      </w:r>
    </w:p>
    <w:p>
      <w:pPr>
        <w:keepNext/>
        <w:pageBreakBefore w:val="0"/>
        <w:spacing w:before="280" w:after="80"/>
        <w:pBdr>
          <w:bottom w:val="single" w:sz="6" w:space="2" w:color="C9BBA6"/>
        </w:pBdr>
      </w:pPr>
      <w:r>
        <w:rPr>
          <w:rFonts w:ascii="Aptos" w:hAnsi="Aptos" w:cs="Aptos" w:eastAsia="Aptos"/>
          <w:b/>
          <w:color w:val="8C5A2B"/>
          <w:sz w:val="28"/>
        </w:rPr>
        <w:t>1   Erst lesen: Vorbereitung</w:t>
      </w:r>
    </w:p>
    <w:p>
      <w:pPr>
        <w:spacing w:after="80"/>
        <w:jc w:val="both"/>
      </w:pPr>
      <w:r>
        <w:rPr>
          <w:rFonts w:ascii="Aptos" w:hAnsi="Aptos" w:cs="Aptos" w:eastAsia="Aptos"/>
          <w:b w:val="0"/>
          <w:i w:val="0"/>
          <w:sz w:val="19"/>
        </w:rPr>
        <w:t>Vor dem Bereich wird die Gefährdungsbeurteilung dieses Bereichs gelesen, nicht danach: Sie sagt, was das Haus über diesen Arbeitsplatz weiß und für ihn vorgesehen hat. Wer sie erst hinterher liest, sucht im Betrieb ohne Hypothese.</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Gefährdungsbeurteilung des Bereichs gelesen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Befunde und offene Maßnahmen der Vorjahre gelesen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Änderungen seit dem letzten Audit geklärt (neue Geräte, Stoffe, Personal, Fremdfirmen)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Beobachtungsposten festgelegt: der Punkt, an dem die Tätigkeit vorbeikommt (Durchgang, Pass, Rampe, Schwelle zum Lager): ______________________</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Hypothese notiert: Wo könnte die Praxis von dem abweichen, was das Haus für diesen Arbeitsplatz vorgesehen hat?  ________________________</w:t>
      </w:r>
    </w:p>
    <w:p>
      <w:pPr>
        <w:keepNext/>
        <w:pageBreakBefore/>
        <w:spacing w:before="280" w:after="80"/>
        <w:pBdr>
          <w:bottom w:val="single" w:sz="6" w:space="2" w:color="C9BBA6"/>
        </w:pBdr>
      </w:pPr>
      <w:r>
        <w:rPr>
          <w:rFonts w:ascii="Aptos" w:hAnsi="Aptos" w:cs="Aptos" w:eastAsia="Aptos"/>
          <w:b/>
          <w:color w:val="8C5A2B"/>
          <w:sz w:val="28"/>
        </w:rPr>
        <w:t>2   Dann gehen: Begehung (der Zustand)</w:t>
      </w:r>
    </w:p>
    <w:p>
      <w:pPr>
        <w:spacing w:after="80"/>
        <w:jc w:val="both"/>
      </w:pPr>
      <w:r>
        <w:rPr>
          <w:rFonts w:ascii="Aptos" w:hAnsi="Aptos" w:cs="Aptos" w:eastAsia="Aptos"/>
          <w:b w:val="0"/>
          <w:i w:val="0"/>
          <w:sz w:val="19"/>
        </w:rPr>
        <w:t>Die Begehung prüft den Zustand: was vorhanden, gekennzeichnet, geprüft, aufgeräumt, verstellt ist. Sie sieht nur, was im Moment sichtbar ist: ein Zustand ist ein Standbild. Gehen Sie gegen die Laufrichtung des Betriebs, vom Gast zurück zur Anlieferung: Wer dem Weg der Ware folgt, sieht, was geplant war; wer ihm entgegengeht, sieht, was daraus geworden ist.</w:t>
      </w:r>
    </w:p>
    <w:tbl>
      <w:tblPr>
        <w:tblW w:type="auto" w:w="0"/>
        <w:jc w:val="center"/>
        <w:tblLayout w:type="fixed"/>
        <w:tblLook w:firstColumn="1" w:firstRow="1" w:lastColumn="0" w:lastRow="0" w:noHBand="0" w:noVBand="1" w:val="04A0"/>
      </w:tblPr>
      <w:tblGrid>
        <w:gridCol w:w="1417"/>
        <w:gridCol w:w="2041"/>
        <w:gridCol w:w="2324"/>
        <w:gridCol w:w="794"/>
        <w:gridCol w:w="3061"/>
      </w:tblGrid>
      <w:tr>
        <w:trPr>
          <w:tblHeader w:val="true"/>
        </w:trPr>
        <w:tc>
          <w:tcPr>
            <w:tcW w:type="dxa" w:w="141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Station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Worauf der Blick zuerst fällt</w:t>
            </w:r>
          </w:p>
        </w:tc>
        <w:tc>
          <w:tcPr>
            <w:tcW w:type="dxa" w:w="23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man leicht übersieht</w:t>
            </w:r>
          </w:p>
        </w:tc>
        <w:tc>
          <w:tcPr>
            <w:tcW w:type="dxa" w:w="7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Uhrzeit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Notiz: was, wo, seit wann, wie oft</w:t>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Gastbereich und Flure</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Fluchtwege, Stolperstellen, Reinigungswagen</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Türen, die dauerhaft mit Keilen offen gehalten werden</w:t>
            </w:r>
          </w:p>
        </w:tc>
        <w:tc>
          <w:tcPr>
            <w:tcW w:type="dxa" w:w="7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Etage und Lager</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Chemie im Wagen, Lasten, Verkehrswege</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Raum hinter der letzten Tür, in dem alles steht, wofür es keinen Platz gibt</w:t>
            </w:r>
          </w:p>
        </w:tc>
        <w:tc>
          <w:tcPr>
            <w:tcW w:type="dxa" w:w="7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Küche und Spüle</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Maschinen, heiße Medien, Böden, Gänge</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Manipulationen an Schutzeinrichtungen: sie sehen aus wie Ordnung</w:t>
            </w:r>
          </w:p>
        </w:tc>
        <w:tc>
          <w:tcPr>
            <w:tcW w:type="dxa" w:w="7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Wäscherei</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Mangel, Schleuder, Chemiedosierung, Klima</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Not-Halt, der zugestellt ist, weil dort der Wäschekorb steht</w:t>
            </w:r>
          </w:p>
        </w:tc>
        <w:tc>
          <w:tcPr>
            <w:tcW w:type="dxa" w:w="7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Technik und Keller</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Elektrische Anlagen, Höhe, Freischaltung, Ordnung</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Provisorien, die seit Jahren provisorisch sind</w:t>
            </w:r>
          </w:p>
        </w:tc>
        <w:tc>
          <w:tcPr>
            <w:tcW w:type="dxa" w:w="7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Anlieferung und Hof</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Rampe, Wege, Verkehr, Abfall</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Die Stunde: hier entscheidet die Uhrzeit über alles</w:t>
            </w:r>
          </w:p>
        </w:tc>
        <w:tc>
          <w:tcPr>
            <w:tcW w:type="dxa" w:w="7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spacing w:after="40"/>
      </w:pPr>
      <w:r>
        <w:rPr>
          <w:rFonts w:ascii="Aptos" w:hAnsi="Aptos" w:cs="Aptos" w:eastAsia="Aptos"/>
          <w:b w:val="0"/>
          <w:i w:val="0"/>
          <w:color w:val="7A6A55"/>
          <w:sz w:val="18"/>
        </w:rPr>
        <w:t>Die Liste ist eine Gedächtnisstütze. Was nicht auf ihr steht, gehört hierher:</w:t>
      </w:r>
    </w:p>
    <w:tbl>
      <w:tblPr>
        <w:tblW w:type="auto" w:w="0"/>
        <w:jc w:val="center"/>
        <w:tblLayout w:type="fixed"/>
        <w:tblLook w:firstColumn="1" w:firstRow="1" w:lastColumn="0" w:lastRow="0" w:noHBand="0" w:noVBand="1" w:val="04A0"/>
      </w:tblPr>
      <w:tblGrid>
        <w:gridCol w:w="2268"/>
        <w:gridCol w:w="7370"/>
      </w:tblGrid>
      <w:tr>
        <w:trPr>
          <w:tblHeader w:val="true"/>
        </w:trPr>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Ort</w:t>
            </w:r>
          </w:p>
        </w:tc>
        <w:tc>
          <w:tcPr>
            <w:tcW w:type="dxa" w:w="737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ist mir aufgefallen, obwohl es nicht auf der Liste stand?</w:t>
            </w:r>
          </w:p>
        </w:tc>
      </w:tr>
      <w:tr>
        <w:trPr>
          <w:cantSplit w:val="true"/>
          <w:trHeight w:val="510"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737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737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737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tbl>
      <w:tblPr>
        <w:tblW w:type="auto" w:w="0"/>
        <w:jc w:val="center"/>
        <w:tblLook w:firstColumn="1" w:firstRow="1" w:lastColumn="0" w:lastRow="0" w:noHBand="0" w:noVBand="1" w:val="04A0"/>
      </w:tblPr>
      <w:tblGrid>
        <w:gridCol w:w="9638"/>
      </w:tblGrid>
      <w:tr>
        <w:trPr>
          <w:trHeight w:val="1020" w:hRule="atLeast"/>
          <w:cantSplit w:val="true"/>
        </w:trPr>
        <w:tc>
          <w:tcPr>
            <w:tcW w:type="dxa" w:w="9638"/>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Die Landkarte für den nächsten Schritt: Wo sind die Wege eng? Wo liegt die Energie? Wo steht die Chemie? Wo gibt es keinen Platz?</w:t>
            </w:r>
          </w:p>
        </w:tc>
      </w:tr>
    </w:tbl>
    <w:p>
      <w:pPr>
        <w:spacing w:after="20"/>
      </w:pPr>
    </w:p>
    <w:p>
      <w:pPr>
        <w:keepNext/>
        <w:spacing w:before="160" w:after="60"/>
      </w:pPr>
      <w:r>
        <w:rPr>
          <w:rFonts w:ascii="Aptos" w:hAnsi="Aptos" w:cs="Aptos" w:eastAsia="Aptos"/>
          <w:b/>
          <w:color w:val="8C5A2B"/>
          <w:sz w:val="23"/>
        </w:rPr>
        <w:t>Stichprobe: Streuung statt Menge</w:t>
      </w:r>
    </w:p>
    <w:p>
      <w:pPr>
        <w:spacing w:after="60"/>
      </w:pPr>
      <w:r>
        <w:rPr>
          <w:rFonts w:ascii="Aptos" w:hAnsi="Aptos" w:cs="Aptos" w:eastAsia="Aptos"/>
          <w:b w:val="0"/>
          <w:i w:val="0"/>
          <w:color w:val="7A6A55"/>
          <w:sz w:val="18"/>
        </w:rPr>
        <w:t>Drei geprüfte Vorgänge aus drei verschiedenen Schichten sagen mehr als zehn aus derselben (Abschnitt 3.4).</w:t>
      </w:r>
    </w:p>
    <w:tbl>
      <w:tblPr>
        <w:tblW w:type="auto" w:w="0"/>
        <w:jc w:val="center"/>
        <w:tblLayout w:type="fixed"/>
        <w:tblLook w:firstColumn="1" w:firstRow="1" w:lastColumn="0" w:lastRow="0" w:noHBand="0" w:noVBand="1" w:val="04A0"/>
      </w:tblPr>
      <w:tblGrid>
        <w:gridCol w:w="2494"/>
        <w:gridCol w:w="4195"/>
        <w:gridCol w:w="2948"/>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Gegenstand</w:t>
            </w:r>
          </w:p>
        </w:tc>
        <w:tc>
          <w:tcPr>
            <w:tcW w:type="dxa" w:w="419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Sinnvolle Stichprobe (Band)</w:t>
            </w:r>
          </w:p>
        </w:tc>
        <w:tc>
          <w:tcPr>
            <w:tcW w:type="dxa" w:w="294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Meine Auswahl (ohne Namen)</w:t>
            </w:r>
          </w:p>
        </w:tc>
      </w:tr>
      <w:tr>
        <w:trPr>
          <w:cantSplit w:val="true"/>
          <w:trHeight w:val="453"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Unterweisungsnachweise</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Drei Personen, davon eine Aushilfe und eine kürzlich eingestellte</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Prüfnachweise von Arbeitsmitteln</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Zwei Geräte je Bereich, eines davon selten benutzt</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Gefährdungsbeurteilungen</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je Bereich, immer die zuletzt geänderte</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Beobachtete Vorgänge</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Derselbe Vorgang zu zwei verschiedenen Stunden</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Gespräche</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Zwei bis drei Personen je Bereich, unterschiedliche Funktion und Dienstalter</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keepNext/>
        <w:pageBreakBefore/>
        <w:spacing w:before="280" w:after="80"/>
        <w:pBdr>
          <w:bottom w:val="single" w:sz="6" w:space="2" w:color="C9BBA6"/>
        </w:pBdr>
      </w:pPr>
      <w:r>
        <w:rPr>
          <w:rFonts w:ascii="Aptos" w:hAnsi="Aptos" w:cs="Aptos" w:eastAsia="Aptos"/>
          <w:b/>
          <w:color w:val="8C5A2B"/>
          <w:sz w:val="28"/>
        </w:rPr>
        <w:t>3   Dann stehen: Beobachtung (die Handlung)</w:t>
      </w:r>
    </w:p>
    <w:p>
      <w:pPr>
        <w:spacing w:after="80"/>
        <w:jc w:val="both"/>
      </w:pPr>
      <w:r>
        <w:rPr>
          <w:rFonts w:ascii="Aptos" w:hAnsi="Aptos" w:cs="Aptos" w:eastAsia="Aptos"/>
          <w:b w:val="0"/>
          <w:i w:val="0"/>
          <w:sz w:val="19"/>
        </w:rPr>
        <w:t>Die Beobachtung geschieht im Stillstand, am Beobachtungsposten: nicht fünf Minuten, sondern zwanzig. Die ersten fünf Minuten zeigen das vorschriftsmäßige Verhalten; ab der zehnten Minute sehen Sie den Betrieb. Bleiben Sie ohne Liste stehen und schreiben Sie nichts auf; wer von Anfang an schreibt, verlängert die Vorführung, die er beenden möchte. Notieren Sie danach.</w:t>
      </w:r>
    </w:p>
    <w:tbl>
      <w:tblPr>
        <w:tblW w:type="auto" w:w="0"/>
        <w:tblLayout w:type="fixed"/>
        <w:tblLook w:firstColumn="1" w:firstRow="1" w:lastColumn="0" w:lastRow="0" w:noHBand="0" w:noVBand="1" w:val="04A0"/>
      </w:tblPr>
      <w:tblGrid>
        <w:gridCol w:w="1814"/>
        <w:gridCol w:w="3005"/>
        <w:gridCol w:w="1814"/>
        <w:gridCol w:w="3005"/>
      </w:tblGrid>
      <w:tr>
        <w:tc>
          <w:tcPr>
            <w:tcW w:type="dxa" w:w="1814"/>
          </w:tcPr>
          <w:p>
            <w:pPr>
              <w:spacing w:after="20"/>
            </w:pPr>
            <w:r>
              <w:rPr>
                <w:rFonts w:ascii="Aptos" w:hAnsi="Aptos" w:cs="Aptos" w:eastAsia="Aptos"/>
                <w:b/>
                <w:i w:val="0"/>
                <w:color w:val="8C5A2B"/>
                <w:sz w:val="19"/>
              </w:rPr>
              <w:t>Posten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Von – bis (mind. 20 Min.)</w:t>
            </w:r>
          </w:p>
        </w:tc>
        <w:tc>
          <w:tcPr>
            <w:tcW w:type="dxa" w:w="3005"/>
            <w:tcBorders>
              <w:bottom w:val="single" w:sz="6" w:space="0" w:color="C9BBA6"/>
            </w:tcBorders>
          </w:tcPr>
          <w:p>
            <w:pPr>
              <w:spacing w:after="20"/>
            </w:pPr>
          </w:p>
        </w:tc>
      </w:tr>
    </w:tbl>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Zu Beginn gesagt: „Ich schaue mir die Arbeit an, nicht die Personen; ich schreibe keine Namen auf."</w:t>
      </w:r>
    </w:p>
    <w:tbl>
      <w:tblPr>
        <w:tblW w:type="auto" w:w="0"/>
        <w:jc w:val="center"/>
        <w:tblLayout w:type="fixed"/>
        <w:tblLook w:firstColumn="1" w:firstRow="1" w:lastColumn="0" w:lastRow="0" w:noHBand="0" w:noVBand="1" w:val="04A0"/>
      </w:tblPr>
      <w:tblGrid>
        <w:gridCol w:w="2608"/>
        <w:gridCol w:w="3061"/>
        <w:gridCol w:w="3969"/>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beobachtet wird</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es verrät (Band)</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Gesehen: Uhrzeit, Stichwort, ohne Namen</w:t>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Der Weg, den jemand nimmt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Ob der vorgesehene Weg praktikabel ist, oder zu lang</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Handgriff, der zweimal ansetzt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 Werkzeug oder eine Ausrüstung, die nicht passt</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Körperhaltung beim Heben</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Ob die Hilfsmittel vorhanden, erreichbar und benutzbar sind</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Improvisation</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Eine Lücke in der Ausstattung, die nie gemeldet wurde</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Das Tempo bei Belastungsspitzen</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Welche Maßnahmen als Erstes wegfallen, wenn es eng wird</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Der Blick zum Kollegen vor einer Handlung</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Unsicherheit, meist ein Unterweisungsbefund</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652"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(weiteres)</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keepNext/>
        <w:spacing w:before="160" w:after="60"/>
      </w:pPr>
      <w:r>
        <w:rPr>
          <w:rFonts w:ascii="Aptos" w:hAnsi="Aptos" w:cs="Aptos" w:eastAsia="Aptos"/>
          <w:b/>
          <w:color w:val="8C5A2B"/>
          <w:sz w:val="23"/>
        </w:rPr>
        <w:t>Wenn der Auditor eine unmittelbare Gefahr sieht</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val="0"/>
                <w:i w:val="0"/>
                <w:sz w:val="20"/>
              </w:rPr>
              <w:t>Bei unmittelbarer Gefahr wird die Beobachtung abgebrochen und eingegriffen. Der Auditor ist zuerst Mensch und Beschäftigter des Hauses und erst danach Auditor. Die Klausel 7.3 hält fest, dass Beschäftigte sich bei unmittelbarer und ernster Gefahr der Arbeit entziehen können, ohne benachteiligt zu werden; für den Beobachtenden gilt das erst recht. Im Bericht wird der Eingriff festgehalten, die Person nicht genannt. Der Befund lautet nicht „Mitarbeiter stieg ungesichert auf die Leiter", sondern „Arbeiten in Höhe ohne geeignetes Hilfsmittel; Tritt mit Haltevorrichtung im Bereich nicht vorhanden".</w:t>
            </w:r>
          </w:p>
        </w:tc>
      </w:tr>
    </w:tbl>
    <w:p>
      <w:pPr>
        <w:spacing w:after="40"/>
      </w:pPr>
    </w:p>
    <w:tbl>
      <w:tblPr>
        <w:tblW w:type="auto" w:w="0"/>
        <w:jc w:val="center"/>
        <w:tblLook w:firstColumn="1" w:firstRow="1" w:lastColumn="0" w:lastRow="0" w:noHBand="0" w:noVBand="1" w:val="04A0"/>
      </w:tblPr>
      <w:tblGrid>
        <w:gridCol w:w="9638"/>
      </w:tblGrid>
      <w:tr>
        <w:trPr>
          <w:trHeight w:val="737" w:hRule="atLeast"/>
          <w:cantSplit w:val="true"/>
        </w:trPr>
        <w:tc>
          <w:tcPr>
            <w:tcW w:type="dxa" w:w="9638"/>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Unsere Regel für den Fall der unmittelbaren Gefahr, in einem Satz (vorab festgelegt)</w:t>
            </w:r>
          </w:p>
        </w:tc>
      </w:tr>
    </w:tbl>
    <w:p>
      <w:pPr>
        <w:spacing w:after="20"/>
      </w:pPr>
    </w:p>
    <w:p>
      <w:pPr>
        <w:keepNext/>
        <w:spacing w:before="160" w:after="60"/>
      </w:pPr>
      <w:r>
        <w:rPr>
          <w:rFonts w:ascii="Aptos" w:hAnsi="Aptos" w:cs="Aptos" w:eastAsia="Aptos"/>
          <w:b/>
          <w:color w:val="8C5A2B"/>
          <w:sz w:val="23"/>
        </w:rPr>
        <w:t>Wenn der Bereich sich vorbereitet hat</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Etwas ist sauberer als der Rest des Bereichs, genau das, was zuletzt beanstandet wurde.</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Die persönliche Schutzausrüstung wird getragen, sitzt aber falsch: sie wurde gerade erst angelegt.</w:t>
      </w:r>
    </w:p>
    <w:p>
      <w:pPr>
        <w:spacing w:after="60"/>
      </w:pPr>
      <w:r>
        <w:rPr>
          <w:rFonts w:ascii="Aptos" w:hAnsi="Aptos" w:cs="Aptos" w:eastAsia="Aptos"/>
          <w:b w:val="0"/>
          <w:i/>
          <w:color w:val="7A6A55"/>
          <w:sz w:val="17"/>
        </w:rPr>
        <w:t>Das ist keine Konfrontation, sondern eine Information. Verschieben Sie den Gegenstand auf das, was sich in zehn Minuten nicht herstellen lässt: Beschaffungsunterlagen der letzten Monate, Meldungen aus dem Bereich, selten benutzte Geräte, der Raum hinter der letzten Tür. Und kommen Sie wieder: andere Stunde, ohne Ankündigung, im selben Zyklus.</w:t>
      </w:r>
    </w:p>
    <w:p>
      <w:pPr>
        <w:keepNext/>
        <w:pageBreakBefore/>
        <w:spacing w:before="280" w:after="80"/>
        <w:pBdr>
          <w:bottom w:val="single" w:sz="6" w:space="2" w:color="C9BBA6"/>
        </w:pBdr>
      </w:pPr>
      <w:r>
        <w:rPr>
          <w:rFonts w:ascii="Aptos" w:hAnsi="Aptos" w:cs="Aptos" w:eastAsia="Aptos"/>
          <w:b/>
          <w:color w:val="8C5A2B"/>
          <w:sz w:val="28"/>
        </w:rPr>
        <w:t>4   Dann fragen: Interview (die Ursache)</w:t>
      </w:r>
    </w:p>
    <w:p>
      <w:pPr>
        <w:spacing w:after="80"/>
        <w:jc w:val="both"/>
      </w:pPr>
      <w:r>
        <w:rPr>
          <w:rFonts w:ascii="Aptos" w:hAnsi="Aptos" w:cs="Aptos" w:eastAsia="Aptos"/>
          <w:b w:val="0"/>
          <w:i w:val="0"/>
          <w:sz w:val="19"/>
        </w:rPr>
        <w:t>Ein Auditgespräch dauert selten länger als zehn Minuten. Es beginnt nicht mit der Sache und endet nicht mit der Belehrung. Führen Sie es ohne Vorgesetzten: Eine Frage, die neben dem Bereichsleiter gestellt wird, bekommt die Antwort, die der Bereichsleiter hören soll. Zwei bis drei Personen je Bereich, nicht nur die, die am besten Deutsch spricht.</w:t>
      </w:r>
    </w:p>
    <w:tbl>
      <w:tblPr>
        <w:tblW w:type="auto" w:w="0"/>
        <w:jc w:val="center"/>
        <w:tblLayout w:type="fixed"/>
        <w:tblLook w:firstColumn="1" w:firstRow="1" w:lastColumn="0" w:lastRow="0" w:noHBand="0" w:noVBand="1" w:val="04A0"/>
      </w:tblPr>
      <w:tblGrid>
        <w:gridCol w:w="1134"/>
        <w:gridCol w:w="2551"/>
        <w:gridCol w:w="1701"/>
        <w:gridCol w:w="1701"/>
        <w:gridCol w:w="2551"/>
      </w:tblGrid>
      <w:tr>
        <w:trPr>
          <w:tblHeader w:val="true"/>
        </w:trPr>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Gespräch</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Funktion</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Schicht</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Dienstalter</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Sprache: Vorführung / Brücke nötig?</w:t>
            </w:r>
          </w:p>
        </w:tc>
      </w:tr>
      <w:tr>
        <w:trPr>
          <w:cantSplit w:val="true"/>
          <w:trHeight w:val="396" w:hRule="atLeast"/>
        </w:trPr>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1</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r>
      <w:tr>
        <w:trPr>
          <w:cantSplit w:val="true"/>
          <w:trHeight w:val="396" w:hRule="atLeast"/>
        </w:trPr>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2</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r>
      <w:tr>
        <w:trPr>
          <w:cantSplit w:val="true"/>
          <w:trHeight w:val="396" w:hRule="atLeast"/>
        </w:trPr>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3</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r>
    </w:tbl>
    <w:p>
      <w:pPr>
        <w:spacing w:after="60"/>
      </w:pPr>
      <w:r>
        <w:rPr>
          <w:rFonts w:ascii="Aptos" w:hAnsi="Aptos" w:cs="Aptos" w:eastAsia="Aptos"/>
          <w:b w:val="0"/>
          <w:i/>
          <w:color w:val="7A6A55"/>
          <w:sz w:val="17"/>
        </w:rPr>
        <w:t>Keine Namen. Bei sprachlicher Unsicherheit zählt die Vorführung; eine Person aus dem Team kann als Brücke helfen, solange sie nicht die Vorgesetzte ist.</w:t>
      </w:r>
    </w:p>
    <w:tbl>
      <w:tblPr>
        <w:tblW w:type="auto" w:w="0"/>
        <w:jc w:val="center"/>
        <w:tblLayout w:type="fixed"/>
        <w:tblLook w:firstColumn="1" w:firstRow="1" w:lastColumn="0" w:lastRow="0" w:noHBand="0" w:noVBand="1" w:val="04A0"/>
      </w:tblPr>
      <w:tblGrid>
        <w:gridCol w:w="1247"/>
        <w:gridCol w:w="3742"/>
        <w:gridCol w:w="1531"/>
        <w:gridCol w:w="1531"/>
        <w:gridCol w:w="1587"/>
      </w:tblGrid>
      <w:tr>
        <w:trPr>
          <w:tblHeader w:val="true"/>
        </w:trPr>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Phase</w:t>
            </w:r>
          </w:p>
        </w:tc>
        <w:tc>
          <w:tcPr>
            <w:tcW w:type="dxa" w:w="374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der Auditor sagt oder fragt</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Gespräch 1</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Gespräch 2</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Gespräch 3</w:t>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Rahmen</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„Ich schaue mir die Arbeit an, nicht die Personen. Namen schreibe ich nicht auf."</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gesagt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gesagt</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gesagt</w:t>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Tätigkeit</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„Zeigen Sie mir, wie Sie das machen."</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Ursache</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„Wann ist das im Weg?" · „Was machen Sie, wenn es schnell gehen muss?" · „Seit wann machen Sie es so?"</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Erfahrung</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„Was ist hier schon einmal fast passiert?"</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Änderung</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ist hier in den letzten zwölf Monaten anders geworden?" (Abschnitt 3.5; an die ausführende Person, nicht an die Leitung)</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Bewusstsein (7.3)</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Kennt die Person die für sie relevanten Gefährdungen und weiß sie, dass sie sich bei unmittelbarer Gefahr der Arbeit entziehen darf? Nur erfragbar; Wortlaut: Ihre Anregung</w:t>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keepNext/>
        <w:spacing w:before="160" w:after="60"/>
      </w:pPr>
      <w:r>
        <w:rPr>
          <w:rFonts w:ascii="Aptos" w:hAnsi="Aptos" w:cs="Aptos" w:eastAsia="Aptos"/>
          <w:b/>
          <w:color w:val="8C5A2B"/>
          <w:sz w:val="23"/>
        </w:rPr>
        <w:t>Abschluss: die Frage von zwanzig Sekunden</w:t>
      </w:r>
    </w:p>
    <w:p>
      <w:pPr>
        <w:spacing w:after="80"/>
        <w:jc w:val="both"/>
      </w:pPr>
      <w:r>
        <w:rPr>
          <w:rFonts w:ascii="Aptos" w:hAnsi="Aptos" w:cs="Aptos" w:eastAsia="Aptos"/>
          <w:b w:val="0"/>
          <w:i w:val="0"/>
          <w:sz w:val="19"/>
        </w:rPr>
        <w:t>Zwanzig Sekunden, die das Gespräch von der Prüfung zur Beteiligung drehen: die ergiebigste Frage des Audits, in keiner Checkliste. Nicht weglassen.</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val="0"/>
                <w:i w:val="0"/>
                <w:sz w:val="20"/>
              </w:rPr>
              <w:t>„Was würden Sie ändern, wenn Sie könnten?"</w:t>
            </w:r>
          </w:p>
        </w:tc>
      </w:tr>
    </w:tbl>
    <w:p>
      <w:pPr>
        <w:spacing w:after="40"/>
      </w:pPr>
    </w:p>
    <w:tbl>
      <w:tblPr>
        <w:tblW w:type="auto" w:w="0"/>
        <w:jc w:val="center"/>
        <w:tblLayout w:type="fixed"/>
        <w:tblLook w:firstColumn="1" w:firstRow="1" w:lastColumn="0" w:lastRow="0" w:noHBand="0" w:noVBand="1" w:val="04A0"/>
      </w:tblPr>
      <w:tblGrid>
        <w:gridCol w:w="3209"/>
        <w:gridCol w:w="3209"/>
        <w:gridCol w:w="3220"/>
      </w:tblGrid>
      <w:tr>
        <w:trPr>
          <w:trHeight w:val="963" w:hRule="atLeast"/>
          <w:cantSplit w:val="true"/>
        </w:trPr>
        <w:tc>
          <w:tcPr>
            <w:tcW w:type="dxa" w:w="3209"/>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Gespräch 1</w:t>
            </w:r>
          </w:p>
        </w:tc>
        <w:tc>
          <w:tcPr>
            <w:tcW w:type="dxa" w:w="3209"/>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Gespräch 2</w:t>
            </w:r>
          </w:p>
        </w:tc>
        <w:tc>
          <w:tcPr>
            <w:tcW w:type="dxa" w:w="3220"/>
            <w:tcBorders>
              <w:top w:val="single" w:sz="6" w:space="0" w:color="C9BBA6"/>
              <w:left w:val="single" w:sz="6" w:space="0" w:color="C9BBA6"/>
              <w:bottom w:val="single" w:sz="6" w:space="0" w:color="C9BBA6"/>
              <w:right w:val="single" w:sz="6" w:space="0" w:color="C9BBA6"/>
            </w:tcBorders>
          </w:tcPr>
          <w:p>
            <w:pPr>
              <w:spacing w:after="0"/>
            </w:pPr>
            <w:r>
              <w:rPr>
                <w:rFonts w:ascii="Aptos" w:hAnsi="Aptos" w:cs="Aptos" w:eastAsia="Aptos"/>
                <w:b/>
                <w:i w:val="0"/>
                <w:color w:val="7A6A55"/>
                <w:sz w:val="16"/>
              </w:rPr>
              <w:t>Gespräch 3</w:t>
            </w:r>
          </w:p>
        </w:tc>
      </w:tr>
    </w:tbl>
    <w:p>
      <w:pPr>
        <w:spacing w:after="20"/>
      </w:pPr>
    </w:p>
    <w:p>
      <w:pPr>
        <w:keepNext/>
        <w:spacing w:before="160" w:after="60"/>
      </w:pPr>
      <w:r>
        <w:rPr>
          <w:rFonts w:ascii="Aptos" w:hAnsi="Aptos" w:cs="Aptos" w:eastAsia="Aptos"/>
          <w:b/>
          <w:color w:val="8C5A2B"/>
          <w:sz w:val="23"/>
        </w:rPr>
        <w:t>Vorab klären: Beobachtung, Mitbestimmung, Datenschutz (punktuelle Beobachtung ≠ dauerhafte Überwachung)</w:t>
      </w:r>
    </w:p>
    <w:tbl>
      <w:tblPr>
        <w:tblW w:type="auto" w:w="0"/>
        <w:jc w:val="center"/>
        <w:tblLayout w:type="fixed"/>
        <w:tblLook w:firstColumn="1" w:firstRow="1" w:lastColumn="0" w:lastRow="0" w:noHBand="0" w:noVBand="1" w:val="04A0"/>
      </w:tblPr>
      <w:tblGrid>
        <w:gridCol w:w="1928"/>
        <w:gridCol w:w="2608"/>
        <w:gridCol w:w="2835"/>
        <w:gridCol w:w="2268"/>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Gegenstand</w:t>
            </w:r>
          </w:p>
        </w:tc>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Deutschland</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Österreich</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Schweiz</w:t>
            </w:r>
          </w:p>
        </w:tc>
      </w:tr>
      <w:tr>
        <w:trPr>
          <w:cantSplit w:val="true"/>
          <w:trHeight w:val="34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Technische Verhaltens- oder Leistungskontrolle</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Mitbestimmung des Betriebsrats (§ 87 Abs. 1 Nr. 6 BetrVG)</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Kontrollmaßnahmen berühren die Menschenwürde: Zustimmung bzw. Betriebsvereinbarung (§ 96 ArbVG)</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Überwachungssysteme zur Verhaltenskontrolle unzulässig (Art. 26 ArGV 3)</w:t>
            </w:r>
          </w:p>
        </w:tc>
      </w:tr>
      <w:tr>
        <w:trPr>
          <w:cantSplit w:val="true"/>
          <w:trHeight w:val="340"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Fotografieren im Betrieb</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Zulässig für Sachverhalte; Personen möglichst nicht erkennbar; DSGVO beachten</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Ebenso; bei Personenbezug Zustimmung oder Betriebsvereinbarung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Ebenso; Personenbezug vermeiden</w:t>
            </w:r>
          </w:p>
        </w:tc>
      </w:tr>
      <w:tr>
        <w:trPr>
          <w:cantSplit w:val="true"/>
          <w:trHeight w:val="34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Personenbezogene Daten im Auditbericht</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DSGVO: Datenminimierung, Personenbezug auf das Notwendige begrenzen</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DSGVO ebenso</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DSG ebenso</w:t>
            </w:r>
          </w:p>
        </w:tc>
      </w:tr>
    </w:tbl>
    <w:p>
      <w:pPr>
        <w:keepNext/>
        <w:pageBreakBefore/>
        <w:spacing w:before="280" w:after="80"/>
        <w:pBdr>
          <w:bottom w:val="single" w:sz="6" w:space="2" w:color="C9BBA6"/>
        </w:pBdr>
      </w:pPr>
      <w:r>
        <w:rPr>
          <w:rFonts w:ascii="Aptos" w:hAnsi="Aptos" w:cs="Aptos" w:eastAsia="Aptos"/>
          <w:b/>
          <w:color w:val="8C5A2B"/>
          <w:sz w:val="28"/>
        </w:rPr>
        <w:t>5   Zuletzt zurück zum Dokument: Befunde</w:t>
      </w:r>
    </w:p>
    <w:p>
      <w:pPr>
        <w:spacing w:after="80"/>
        <w:jc w:val="both"/>
      </w:pPr>
      <w:r>
        <w:rPr>
          <w:rFonts w:ascii="Aptos" w:hAnsi="Aptos" w:cs="Aptos" w:eastAsia="Aptos"/>
          <w:b w:val="0"/>
          <w:i w:val="0"/>
          <w:sz w:val="19"/>
        </w:rPr>
        <w:t>Jeder Befund wird gegen die Gefährdungsbeurteilung des Bereichs gehalten. Ein Befund auf nur einer Quelle ist angreifbar, zwei Quellen machen ihn belastbar, drei unbestreitbar (Dokument, Zustand, Handlung, Auskunft). Die Rückkopplung ordnet den Befund ein:</w:t>
      </w:r>
    </w:p>
    <w:p>
      <w:pPr>
        <w:spacing w:after="60"/>
      </w:pPr>
      <w:r>
        <w:rPr>
          <w:rFonts w:ascii="Aptos" w:hAnsi="Aptos" w:cs="Aptos" w:eastAsia="Aptos"/>
          <w:b w:val="0"/>
          <w:i w:val="0"/>
          <w:color w:val="7A6A55"/>
          <w:sz w:val="18"/>
        </w:rPr>
        <w:t>A  Gefährdung und Maßnahme stehen dort, wirken im Betrieb aber nicht: Wirksamkeitsbefund.   B  Die Gefährdung steht dort, die Maßnahme ist im Betrieb nicht praktikabel: Beurteilungsbefund, die Gefährdungsbeurteilung ist zu überarbeiten.   C  Die Gefährdung steht dort nicht: der schwerwiegendste Fall; gehört ausdrücklich in den Bericht an die Leitung.</w:t>
      </w:r>
    </w:p>
    <w:tbl>
      <w:tblPr>
        <w:tblW w:type="auto" w:w="0"/>
        <w:jc w:val="center"/>
        <w:tblLayout w:type="fixed"/>
        <w:tblLook w:firstColumn="1" w:firstRow="1" w:lastColumn="0" w:lastRow="0" w:noHBand="0" w:noVBand="1" w:val="04A0"/>
      </w:tblPr>
      <w:tblGrid>
        <w:gridCol w:w="907"/>
        <w:gridCol w:w="3402"/>
        <w:gridCol w:w="1531"/>
        <w:gridCol w:w="1247"/>
        <w:gridCol w:w="964"/>
        <w:gridCol w:w="1587"/>
      </w:tblGrid>
      <w:tr>
        <w:trPr>
          <w:tblHeader w:val="true"/>
        </w:trPr>
        <w:tc>
          <w:tcPr>
            <w:tcW w:type="dxa" w:w="90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Nr.</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Sachverhalt: was, wo, seit wann, wie oft; Uhrzeit und Betriebssituation</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Quellen</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Art</w:t>
            </w:r>
          </w:p>
        </w:tc>
        <w:tc>
          <w:tcPr>
            <w:tcW w:type="dxa" w:w="96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 / B / C</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Klausel, Rechtsgrundlage</w:t>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t>Beispiel</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t>Schnittschutzhandschuhe werden beim Filetieren nicht getragen; Größe M seit Februar nicht beschafft.</w:t>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t>Handlung, Auskunft</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t>Ursache</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t>B</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7"/>
              </w:rPr>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1</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Dok. ☐ Zust.</w:t>
              <w:br/>
              <w:t>☐ Hdl. ☐ Ausk.</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Zustand</w:t>
              <w:br/>
              <w:t>☐ Handlung</w:t>
              <w:br/>
              <w:t>☐ Ursache</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A ☐ B</w:t>
              <w:br/>
              <w:t>☐ C</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2</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Dok. ☐ Zust.</w:t>
              <w:br/>
              <w:t>☐ Hdl. ☐ Ausk.</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Zustand</w:t>
              <w:br/>
              <w:t>☐ Handlung</w:t>
              <w:br/>
              <w:t>☐ Ursache</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A ☐ B</w:t>
              <w:br/>
              <w:t>☐ C</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3</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Dok. ☐ Zust.</w:t>
              <w:br/>
              <w:t>☐ Hdl. ☐ Ausk.</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Zustand</w:t>
              <w:br/>
              <w:t>☐ Handlung</w:t>
              <w:br/>
              <w:t>☐ Ursache</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A ☐ B</w:t>
              <w:br/>
              <w:t>☐ C</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4</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Dok. ☐ Zust.</w:t>
              <w:br/>
              <w:t>☐ Hdl. ☐ Ausk.</w:t>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Zustand</w:t>
              <w:br/>
              <w:t>☐ Handlung</w:t>
              <w:br/>
              <w:t>☐ Ursache</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A ☐ B</w:t>
              <w:br/>
              <w:t>☐ C</w:t>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90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5</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Dok. ☐ Zust.</w:t>
              <w:br/>
              <w:t>☐ Hdl. ☐ Ausk.</w:t>
            </w:r>
          </w:p>
        </w:tc>
        <w:tc>
          <w:tcPr>
            <w:tcW w:type="dxa" w:w="124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Zustand</w:t>
              <w:br/>
              <w:t>☐ Handlung</w:t>
              <w:br/>
              <w:t>☐ Ursache</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A ☐ B</w:t>
              <w:br/>
              <w:t>☐ C</w:t>
            </w:r>
          </w:p>
        </w:tc>
        <w:tc>
          <w:tcPr>
            <w:tcW w:type="dxa" w:w="15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tbl>
      <w:tblPr>
        <w:tblW w:type="auto" w:w="0"/>
        <w:jc w:val="center"/>
        <w:tblLayout w:type="fixed"/>
        <w:tblLook w:firstColumn="1" w:firstRow="1" w:lastColumn="0" w:lastRow="0" w:noHBand="0" w:noVBand="1" w:val="04A0"/>
      </w:tblPr>
      <w:tblGrid>
        <w:gridCol w:w="4819"/>
        <w:gridCol w:w="4819"/>
      </w:tblGrid>
      <w:tr>
        <w:trPr>
          <w:tblHeader w:val="true"/>
        </w:trPr>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Wird notiert</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Wird nicht notiert</w:t>
            </w:r>
          </w:p>
        </w:tc>
      </w:tr>
      <w:tr>
        <w:trPr>
          <w:cantSplit w:val="true"/>
          <w:trHeight w:val="340"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Sachverhalt: was, wo, seit wann, wie oft</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Name der beobachteten Person</w:t>
            </w:r>
          </w:p>
        </w:tc>
      </w:tr>
      <w:tr>
        <w:trPr>
          <w:cantSplit w:val="true"/>
          <w:trHeight w:val="340"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Die Uhrzeit und die Betriebssituation</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Wörtliche Zitate, die auf eine Person zurückführen</w:t>
            </w:r>
          </w:p>
        </w:tc>
      </w:tr>
      <w:tr>
        <w:trPr>
          <w:cantSplit w:val="true"/>
          <w:trHeight w:val="340"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genannte Ursache, ohne Zuschreibung</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Bewertungen des Verhaltens Einzelner</w:t>
            </w:r>
          </w:p>
        </w:tc>
      </w:tr>
      <w:tr>
        <w:trPr>
          <w:cantSplit w:val="true"/>
          <w:trHeight w:val="340" w:hRule="atLeast"/>
        </w:trPr>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Das Foto des Sachverhalts</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Das Foto der Person</w:t>
            </w:r>
          </w:p>
        </w:tc>
      </w:tr>
      <w:tr>
        <w:trPr>
          <w:cantSplit w:val="true"/>
          <w:trHeight w:val="340"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betroffene Rechtsgrundlage oder Klausel</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Vermutungen über Absichten</w:t>
            </w:r>
          </w:p>
        </w:tc>
      </w:tr>
    </w:tbl>
    <w:p>
      <w:pPr>
        <w:spacing w:after="60"/>
      </w:pPr>
      <w:r>
        <w:rPr>
          <w:rFonts w:ascii="Aptos" w:hAnsi="Aptos" w:cs="Aptos" w:eastAsia="Aptos"/>
          <w:b w:val="0"/>
          <w:i/>
          <w:color w:val="7A6A55"/>
          <w:sz w:val="17"/>
        </w:rPr>
        <w:t>Fotos: Sachverhalte, nicht Menschen; Löschung nach Abschluss der Maßnahme. Eine Seite zu Foto und Vertraulichkeit wird vor dem ersten Audit mit der Vertretung der Beschäftigten abgestimmt (Beispiel Kassel: Betriebsrat, eine Sitzung).</w:t>
      </w:r>
    </w:p>
    <w:p>
      <w:pPr>
        <w:spacing w:after="60"/>
      </w:pPr>
      <w:r>
        <w:rPr>
          <w:rFonts w:ascii="Aptos" w:hAnsi="Aptos" w:cs="Aptos" w:eastAsia="Aptos"/>
          <w:b w:val="0"/>
          <w:i w:val="0"/>
          <w:color w:val="7A6A55"/>
          <w:sz w:val="18"/>
        </w:rPr>
        <w:t>Kennzahlen dieses Audits: Feststellungen insgesamt ____ · davon mit benannter Ursache ____ · davon aus der Abschlussfrage ____ (sie misst am ehrlichsten, ob die Belegschaft dem Verfahren traut).</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Keine Checkliste, die den Blick begrenzt, und kein Wortprotokoll: Die Norm verlangt geeignete Methoden (9.2.2), keine bestimmte Methode, und Nachweise über die Auditergebnisse, nicht über jedes Gespräch. Der Notizbogen ersetzt weder das Gehen, Stehen und Fragen noch die Beteiligung der Beschäftigten (5.4). Die ISO 19011 ist ein Leitfaden, kein Anforderungsdokument. Die Vorlage ersetzt weder Norm noch Rechtsberatung, weder Audit noch Gefährdungsbeurteilung des konkreten Falls noch das Urteil der Zertifizierungsstelle; verbindlich ist die jeweils gültige Fassung von Gesetz und Norm (zu Mitbestimmung und Datenschutz: das Recht des jeweiligen Landes). Maßgeblich ist heute die ISO 45001:2018 (EN ISO 45001:2023, Amd 1:2024); der Entwurf ISO/DIS 45001 (Veröffentlichung für 2027 erwartet) bindet nicht. Eine ISO 45001:2026 existiert nicht.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