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ptos" w:hAnsi="Aptos" w:cs="Aptos" w:eastAsia="Aptos"/>
          <w:b/>
          <w:color w:val="7A6A55"/>
          <w:sz w:val="17"/>
        </w:rPr>
        <w:t>VORLAGE ZU ABSCHNITT 3.5 DES BANDES 3B</w:t>
      </w:r>
    </w:p>
    <w:p>
      <w:pPr>
        <w:spacing w:after="60"/>
        <w:pBdr>
          <w:bottom w:val="single" w:sz="8" w:space="4" w:color="C9BBA6"/>
        </w:pBdr>
      </w:pPr>
      <w:r>
        <w:rPr>
          <w:rFonts w:ascii="Aptos" w:hAnsi="Aptos" w:cs="Aptos" w:eastAsia="Aptos"/>
          <w:b/>
          <w:color w:val="8C5A2B"/>
          <w:sz w:val="42"/>
        </w:rPr>
        <w:t>Prozesslandkarte und Bereichsleitfaden</w:t>
      </w:r>
    </w:p>
    <w:p>
      <w:pPr>
        <w:spacing w:before="80" w:after="200"/>
      </w:pPr>
      <w:r>
        <w:rPr>
          <w:rFonts w:ascii="Aptos" w:hAnsi="Aptos" w:cs="Aptos" w:eastAsia="Aptos"/>
          <w:i/>
          <w:color w:val="7A6A55"/>
          <w:sz w:val="21"/>
        </w:rPr>
        <w:t>Ein Leitfaden, der zu diesem Prozess passt und zu keinem anderen: vier Merkmale beschreiben, die Rangfolge der Maßnahmen ist das Raster der Antwort</w:t>
      </w:r>
    </w:p>
    <w:p>
      <w:pPr>
        <w:spacing w:after="80"/>
      </w:pPr>
      <w:r>
        <w:rPr>
          <w:rFonts w:ascii="Aptos" w:hAnsi="Aptos" w:cs="Aptos" w:eastAsia="Aptos"/>
          <w:b/>
          <w:i w:val="0"/>
          <w:color w:val="7A6A55"/>
          <w:sz w:val="18"/>
        </w:rPr>
        <w:t xml:space="preserve">Bezug im Buch: </w:t>
      </w:r>
      <w:r>
        <w:rPr>
          <w:rFonts w:ascii="Aptos" w:hAnsi="Aptos" w:cs="Aptos" w:eastAsia="Aptos"/>
          <w:b w:val="0"/>
          <w:i w:val="0"/>
          <w:color w:val="7A6A55"/>
          <w:sz w:val="18"/>
        </w:rPr>
        <w:t>Abschnitt 3.5 (mit 3.3: Termine im Jahresraster; 3.4: Fragen und Begehung; 3.9: ausgelagerte Prozesse); Norm: Klauseln 8.1, 8.1.2, 8.1.3 und 8.1.4.</w:t>
      </w:r>
    </w:p>
    <w:tbl>
      <w:tblPr>
        <w:tblW w:type="auto" w:w="0"/>
        <w:jc w:val="center"/>
        <w:tblLook w:firstColumn="1" w:firstRow="1" w:lastColumn="0" w:lastRow="0" w:noHBand="0" w:noVBand="1" w:val="04A0"/>
      </w:tblPr>
      <w:tblGrid>
        <w:gridCol w:w="14570"/>
      </w:tblGrid>
      <w:tr>
        <w:tc>
          <w:tcPr>
            <w:tcW w:type="dxa" w:w="14570"/>
            <w:shd w:val="clear" w:color="auto" w:fill="EFE7DC"/>
            <w:tcBorders>
              <w:left w:val="single" w:sz="24" w:space="0" w:color="8C5A2B"/>
            </w:tcBorders>
          </w:tcPr>
          <w:p>
            <w:pPr>
              <w:spacing w:after="40"/>
            </w:pPr>
            <w:r>
              <w:rPr>
                <w:rFonts w:ascii="Aptos" w:hAnsi="Aptos" w:cs="Aptos" w:eastAsia="Aptos"/>
                <w:b/>
                <w:i w:val="0"/>
                <w:color w:val="8C5A2B"/>
                <w:sz w:val="21"/>
              </w:rPr>
              <w:t>So nutzen Sie diese Vorlage</w:t>
            </w:r>
          </w:p>
          <w:p>
            <w:pPr>
              <w:spacing w:after="40"/>
              <w:ind w:left="340" w:hanging="340"/>
            </w:pPr>
            <w:r>
              <w:rPr>
                <w:rFonts w:ascii="Aptos" w:hAnsi="Aptos" w:cs="Aptos" w:eastAsia="Aptos"/>
                <w:b/>
                <w:i w:val="0"/>
                <w:color w:val="8C5A2B"/>
                <w:sz w:val="19"/>
              </w:rPr>
              <w:t xml:space="preserve">1.  </w:t>
            </w:r>
            <w:r>
              <w:rPr>
                <w:rFonts w:ascii="Aptos" w:hAnsi="Aptos" w:cs="Aptos" w:eastAsia="Aptos"/>
                <w:b/>
                <w:i w:val="0"/>
                <w:sz w:val="19"/>
              </w:rPr>
              <w:t xml:space="preserve">Ein Hilfsmittel für den Blick, kein Ablagestück. </w:t>
            </w:r>
            <w:r>
              <w:rPr>
                <w:rFonts w:ascii="Aptos" w:hAnsi="Aptos" w:cs="Aptos" w:eastAsia="Aptos"/>
                <w:b w:val="0"/>
                <w:i w:val="0"/>
                <w:sz w:val="19"/>
              </w:rPr>
              <w:t>Karte und Leitfaden beschreiben, worauf Sie bei genau diesem Prozess schauen, was Sie fragen und was als Nachweis gilt; sie ersetzen die Universalcheckliste.</w:t>
            </w:r>
          </w:p>
          <w:p>
            <w:pPr>
              <w:spacing w:after="40"/>
              <w:ind w:left="340" w:hanging="340"/>
            </w:pPr>
            <w:r>
              <w:rPr>
                <w:rFonts w:ascii="Aptos" w:hAnsi="Aptos" w:cs="Aptos" w:eastAsia="Aptos"/>
                <w:b/>
                <w:i w:val="0"/>
                <w:color w:val="8C5A2B"/>
                <w:sz w:val="19"/>
              </w:rPr>
              <w:t xml:space="preserve">2.  </w:t>
            </w:r>
            <w:r>
              <w:rPr>
                <w:rFonts w:ascii="Aptos" w:hAnsi="Aptos" w:cs="Aptos" w:eastAsia="Aptos"/>
                <w:b/>
                <w:i w:val="0"/>
                <w:sz w:val="19"/>
              </w:rPr>
              <w:t xml:space="preserve">Beschreiben, nicht beherrschen. </w:t>
            </w:r>
            <w:r>
              <w:rPr>
                <w:rFonts w:ascii="Aptos" w:hAnsi="Aptos" w:cs="Aptos" w:eastAsia="Aptos"/>
                <w:b w:val="0"/>
                <w:i w:val="0"/>
                <w:sz w:val="19"/>
              </w:rPr>
              <w:t>Wer einen Bereich zwanzig Minuten beobachtet hat, kann die vier Merkmale beantworten; eine Sitzung von zwei Stunden mit Bereichsleitungen und zwei Sicherheitsvertrauenspersonen genügt.</w:t>
            </w:r>
          </w:p>
          <w:p>
            <w:pPr>
              <w:spacing w:after="40"/>
              <w:ind w:left="340" w:hanging="340"/>
            </w:pPr>
            <w:r>
              <w:rPr>
                <w:rFonts w:ascii="Aptos" w:hAnsi="Aptos" w:cs="Aptos" w:eastAsia="Aptos"/>
                <w:b/>
                <w:i w:val="0"/>
                <w:color w:val="8C5A2B"/>
                <w:sz w:val="19"/>
              </w:rPr>
              <w:t xml:space="preserve">3.  </w:t>
            </w:r>
            <w:r>
              <w:rPr>
                <w:rFonts w:ascii="Aptos" w:hAnsi="Aptos" w:cs="Aptos" w:eastAsia="Aptos"/>
                <w:b/>
                <w:i w:val="0"/>
                <w:sz w:val="19"/>
              </w:rPr>
              <w:t xml:space="preserve">Höchstens acht Punkte je Leitfaden, </w:t>
            </w:r>
            <w:r>
              <w:rPr>
                <w:rFonts w:ascii="Aptos" w:hAnsi="Aptos" w:cs="Aptos" w:eastAsia="Aptos"/>
                <w:b w:val="0"/>
                <w:i w:val="0"/>
                <w:sz w:val="19"/>
              </w:rPr>
              <w:t>in jedem zuerst die Frage: «Warum ist die vorhandene Maßnahme die vorhandene?» «Nicht anwendbar» ist ein Ergebnis über die Liste, nicht über den Bereich.</w:t>
            </w:r>
          </w:p>
        </w:tc>
      </w:tr>
    </w:tbl>
    <w:p>
      <w:pPr>
        <w:spacing w:after="40"/>
      </w:pPr>
    </w:p>
    <w:p>
      <w:pPr>
        <w:keepNext/>
        <w:pageBreakBefore w:val="0"/>
        <w:spacing w:before="280" w:after="80"/>
        <w:pBdr>
          <w:bottom w:val="single" w:sz="6" w:space="2" w:color="C9BBA6"/>
        </w:pBdr>
      </w:pPr>
      <w:r>
        <w:rPr>
          <w:rFonts w:ascii="Aptos" w:hAnsi="Aptos" w:cs="Aptos" w:eastAsia="Aptos"/>
          <w:b/>
          <w:color w:val="8C5A2B"/>
          <w:sz w:val="28"/>
        </w:rPr>
        <w:t>1   Die vier Merkmale eines Prozesses</w:t>
      </w:r>
    </w:p>
    <w:tbl>
      <w:tblPr>
        <w:tblW w:type="auto" w:w="0"/>
        <w:jc w:val="center"/>
        <w:tblLayout w:type="fixed"/>
        <w:tblLook w:firstColumn="1" w:firstRow="1" w:lastColumn="0" w:lastRow="0" w:noHBand="0" w:noVBand="1" w:val="04A0"/>
      </w:tblPr>
      <w:tblGrid>
        <w:gridCol w:w="2041"/>
        <w:gridCol w:w="6236"/>
        <w:gridCol w:w="6293"/>
      </w:tblGrid>
      <w:tr>
        <w:trPr>
          <w:tblHeader w:val="true"/>
        </w:trPr>
        <w:tc>
          <w:tcPr>
            <w:tcW w:type="dxa" w:w="204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Merkmal</w:t>
            </w:r>
          </w:p>
        </w:tc>
        <w:tc>
          <w:tcPr>
            <w:tcW w:type="dxa" w:w="6236"/>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Die Frage dahinter</w:t>
            </w:r>
          </w:p>
        </w:tc>
        <w:tc>
          <w:tcPr>
            <w:tcW w:type="dxa" w:w="6293"/>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Warum sie das Audit steuert</w:t>
            </w:r>
          </w:p>
        </w:tc>
      </w:tr>
      <w:tr>
        <w:trPr>
          <w:cantSplit w:val="true"/>
          <w:trHeight w:val="453" w:hRule="atLeast"/>
        </w:trPr>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9"/>
              </w:rPr>
              <w:t>Energieform</w:t>
            </w:r>
          </w:p>
        </w:tc>
        <w:tc>
          <w:tcPr>
            <w:tcW w:type="dxa" w:w="623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t>Welche Energie ist im Spiel: Hitze, Strom, Bewegung, Chemie, Höhe, Druck?</w:t>
            </w:r>
          </w:p>
        </w:tc>
        <w:tc>
          <w:tcPr>
            <w:tcW w:type="dxa" w:w="629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t>Bestimmt, welche Schutzeinrichtung überhaupt in Frage kommt</w:t>
            </w:r>
          </w:p>
        </w:tc>
      </w:tr>
      <w:tr>
        <w:trPr>
          <w:cantSplit w:val="true"/>
          <w:trHeight w:val="453" w:hRule="atLeast"/>
        </w:trPr>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9"/>
              </w:rPr>
              <w:t>Körperbelastung</w:t>
            </w:r>
          </w:p>
        </w:tc>
        <w:tc>
          <w:tcPr>
            <w:tcW w:type="dxa" w:w="6236"/>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t>Was verlangt die Tätigkeit vom Körper: Last, Haltung, Wiederholung, Klima?</w:t>
            </w:r>
          </w:p>
        </w:tc>
        <w:tc>
          <w:tcPr>
            <w:tcW w:type="dxa" w:w="6293"/>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t>Bestimmt die Gefährdungen, die langsam entstehen und lange ausfallen</w:t>
            </w:r>
          </w:p>
        </w:tc>
      </w:tr>
      <w:tr>
        <w:trPr>
          <w:cantSplit w:val="true"/>
          <w:trHeight w:val="453" w:hRule="atLeast"/>
        </w:trPr>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9"/>
              </w:rPr>
              <w:t>Fremdeinwirkung</w:t>
            </w:r>
          </w:p>
        </w:tc>
        <w:tc>
          <w:tcPr>
            <w:tcW w:type="dxa" w:w="623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t>Wer ist noch da: Gäste, Fremdfirmen, Lieferanten, Kollegen im engen Raum?</w:t>
            </w:r>
          </w:p>
        </w:tc>
        <w:tc>
          <w:tcPr>
            <w:tcW w:type="dxa" w:w="629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t>Bestimmt, was man nicht selbst steuern kann</w:t>
            </w:r>
          </w:p>
        </w:tc>
      </w:tr>
      <w:tr>
        <w:trPr>
          <w:cantSplit w:val="true"/>
          <w:trHeight w:val="453" w:hRule="atLeast"/>
        </w:trPr>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9"/>
              </w:rPr>
              <w:t>Zeitstruktur</w:t>
            </w:r>
          </w:p>
        </w:tc>
        <w:tc>
          <w:tcPr>
            <w:tcW w:type="dxa" w:w="6236"/>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t>Wann läuft der Prozess, und wann läuft er unter Druck?</w:t>
            </w:r>
          </w:p>
        </w:tc>
        <w:tc>
          <w:tcPr>
            <w:tcW w:type="dxa" w:w="6293"/>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9"/>
              </w:rPr>
              <w:t>Bestimmt die Stunde des Audits und die Reihenfolge, in der Maßnahmen wegfallen</w:t>
            </w:r>
          </w:p>
        </w:tc>
      </w:tr>
    </w:tbl>
    <w:p>
      <w:pPr>
        <w:keepNext/>
        <w:spacing w:before="160" w:after="60"/>
      </w:pPr>
      <w:r>
        <w:rPr>
          <w:rFonts w:ascii="Aptos" w:hAnsi="Aptos" w:cs="Aptos" w:eastAsia="Aptos"/>
          <w:b/>
          <w:color w:val="8C5A2B"/>
          <w:sz w:val="23"/>
        </w:rPr>
        <w:t>Der Maßstab: die Rangfolge der Maßnahmen (8.1.2)</w:t>
      </w:r>
    </w:p>
    <w:tbl>
      <w:tblPr>
        <w:tblW w:type="auto" w:w="0"/>
        <w:jc w:val="center"/>
        <w:tblLayout w:type="fixed"/>
        <w:tblLook w:firstColumn="1" w:firstRow="1" w:lastColumn="0" w:lastRow="0" w:noHBand="0" w:noVBand="1" w:val="04A0"/>
      </w:tblPr>
      <w:tblGrid>
        <w:gridCol w:w="2268"/>
        <w:gridCol w:w="6066"/>
        <w:gridCol w:w="6236"/>
      </w:tblGrid>
      <w:tr>
        <w:trPr>
          <w:tblHeader w:val="true"/>
        </w:trPr>
        <w:tc>
          <w:tcPr>
            <w:tcW w:type="dxa" w:w="226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Stufe nach 8.1.2</w:t>
            </w:r>
          </w:p>
        </w:tc>
        <w:tc>
          <w:tcPr>
            <w:tcW w:type="dxa" w:w="6066"/>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Die Frage des Auditors</w:t>
            </w:r>
          </w:p>
        </w:tc>
        <w:tc>
          <w:tcPr>
            <w:tcW w:type="dxa" w:w="6236"/>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Typischer Hotelbefund (Band)</w:t>
            </w:r>
          </w:p>
        </w:tc>
      </w:tr>
      <w:tr>
        <w:trPr>
          <w:cantSplit w:val="true"/>
          <w:trHeight w:val="283" w:hRule="atLeast"/>
        </w:trPr>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1  Beseitigen</w:t>
            </w:r>
          </w:p>
        </w:tc>
        <w:tc>
          <w:tcPr>
            <w:tcW w:type="dxa" w:w="606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Muss diese Tätigkeit überhaupt so stattfinden?</w:t>
            </w:r>
          </w:p>
        </w:tc>
        <w:tc>
          <w:tcPr>
            <w:tcW w:type="dxa" w:w="623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Umfüllen von Chemie entfällt bei Dosieranlage oder gebrauchsfertigen Behältern</w:t>
            </w:r>
          </w:p>
        </w:tc>
      </w:tr>
      <w:tr>
        <w:trPr>
          <w:cantSplit w:val="true"/>
          <w:trHeight w:val="283" w:hRule="atLeast"/>
        </w:trPr>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2  Ersetzen</w:t>
            </w:r>
          </w:p>
        </w:tc>
        <w:tc>
          <w:tcPr>
            <w:tcW w:type="dxa" w:w="6066"/>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Gibt es ein weniger gefährliches Mittel oder Verfahren?</w:t>
            </w:r>
          </w:p>
        </w:tc>
        <w:tc>
          <w:tcPr>
            <w:tcW w:type="dxa" w:w="6236"/>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Sanitärreiniger mit geringerer Gefahrstoffeinstufung; leichtere Matratzen</w:t>
            </w:r>
          </w:p>
        </w:tc>
      </w:tr>
      <w:tr>
        <w:trPr>
          <w:cantSplit w:val="true"/>
          <w:trHeight w:val="283" w:hRule="atLeast"/>
        </w:trPr>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3  Technisch</w:t>
            </w:r>
          </w:p>
        </w:tc>
        <w:tc>
          <w:tcPr>
            <w:tcW w:type="dxa" w:w="606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Kann die Gefährdung an der Quelle beherrscht werden?</w:t>
            </w:r>
          </w:p>
        </w:tc>
        <w:tc>
          <w:tcPr>
            <w:tcW w:type="dxa" w:w="623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Absaugung, Not-Halt, Hubhilfe, rutschhemmender Boden, Wagen mit funktionierendem Rad</w:t>
            </w:r>
          </w:p>
        </w:tc>
      </w:tr>
      <w:tr>
        <w:trPr>
          <w:cantSplit w:val="true"/>
          <w:trHeight w:val="283" w:hRule="atLeast"/>
        </w:trPr>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4  Organisatorisch</w:t>
            </w:r>
          </w:p>
        </w:tc>
        <w:tc>
          <w:tcPr>
            <w:tcW w:type="dxa" w:w="6066"/>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Kann man Ablauf, Zeit oder Rollen ändern?</w:t>
            </w:r>
          </w:p>
        </w:tc>
        <w:tc>
          <w:tcPr>
            <w:tcW w:type="dxa" w:w="6236"/>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Zwei Personen beim Bettenwechsel; Reinigungszeiten außerhalb des Gastverkehrs</w:t>
            </w:r>
          </w:p>
        </w:tc>
      </w:tr>
      <w:tr>
        <w:trPr>
          <w:cantSplit w:val="true"/>
          <w:trHeight w:val="283" w:hRule="atLeast"/>
        </w:trPr>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5  Schutzausrüstung</w:t>
            </w:r>
          </w:p>
        </w:tc>
        <w:tc>
          <w:tcPr>
            <w:tcW w:type="dxa" w:w="606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Erst wenn 1 bis 4 ausgeschöpft sind: passt sie, ist sie da, ist sie benutzbar?</w:t>
            </w:r>
          </w:p>
        </w:tc>
        <w:tc>
          <w:tcPr>
            <w:tcW w:type="dxa" w:w="623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Schnittschutzhandschuh in der falschen Größe; Schutzbrille, die beschlägt</w:t>
            </w:r>
          </w:p>
        </w:tc>
      </w:tr>
    </w:tbl>
    <w:p>
      <w:pPr>
        <w:keepNext/>
        <w:pageBreakBefore/>
        <w:spacing w:before="280" w:after="80"/>
        <w:pBdr>
          <w:bottom w:val="single" w:sz="6" w:space="2" w:color="C9BBA6"/>
        </w:pBdr>
      </w:pPr>
      <w:r>
        <w:rPr>
          <w:rFonts w:ascii="Aptos" w:hAnsi="Aptos" w:cs="Aptos" w:eastAsia="Aptos"/>
          <w:b/>
          <w:color w:val="8C5A2B"/>
          <w:sz w:val="28"/>
        </w:rPr>
        <w:t>2   Die Prozesslandkarte unseres Hauses</w:t>
      </w:r>
    </w:p>
    <w:p>
      <w:pPr>
        <w:spacing w:after="80"/>
        <w:jc w:val="both"/>
      </w:pPr>
      <w:r>
        <w:rPr>
          <w:rFonts w:ascii="Aptos" w:hAnsi="Aptos" w:cs="Aptos" w:eastAsia="Aptos"/>
          <w:b w:val="0"/>
          <w:i w:val="0"/>
          <w:sz w:val="19"/>
        </w:rPr>
        <w:t>Der Bereich ist kein Ort, sondern ein Bündel von Prozessen mit sehr verschiedenen Gefährdungen; auditiert wird der Prozess. Die erste Spalte ist mit den neun Prozessen des Beispiels Innsbruck und den beiden Prozessen vorbelegt, die in den meisten Rastern fehlen (Endreinigung, Nachtdienst). Streichen und ergänzen Sie nach Ihrem Haus.</w:t>
      </w:r>
    </w:p>
    <w:tbl>
      <w:tblPr>
        <w:tblW w:type="auto" w:w="0"/>
        <w:jc w:val="center"/>
        <w:tblLayout w:type="fixed"/>
        <w:tblLook w:firstColumn="1" w:firstRow="1" w:lastColumn="0" w:lastRow="0" w:noHBand="0" w:noVBand="1" w:val="04A0"/>
      </w:tblPr>
      <w:tblGrid>
        <w:gridCol w:w="2494"/>
        <w:gridCol w:w="1928"/>
        <w:gridCol w:w="2041"/>
        <w:gridCol w:w="2041"/>
        <w:gridCol w:w="2494"/>
        <w:gridCol w:w="2551"/>
        <w:gridCol w:w="1020"/>
      </w:tblGrid>
      <w:tr>
        <w:trPr>
          <w:tblHeader w:val="true"/>
        </w:trPr>
        <w:tc>
          <w:tcPr>
            <w:tcW w:type="dxa" w:w="249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Prozess</w:t>
            </w:r>
          </w:p>
        </w:tc>
        <w:tc>
          <w:tcPr>
            <w:tcW w:type="dxa" w:w="19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Energieform</w:t>
            </w:r>
          </w:p>
        </w:tc>
        <w:tc>
          <w:tcPr>
            <w:tcW w:type="dxa" w:w="204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Körperbelastung</w:t>
            </w:r>
          </w:p>
        </w:tc>
        <w:tc>
          <w:tcPr>
            <w:tcW w:type="dxa" w:w="204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Fremdeinwirkung</w:t>
            </w:r>
          </w:p>
        </w:tc>
        <w:tc>
          <w:tcPr>
            <w:tcW w:type="dxa" w:w="249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Zeitstruktur: wann, wann unter Druck</w:t>
            </w:r>
          </w:p>
        </w:tc>
        <w:tc>
          <w:tcPr>
            <w:tcW w:type="dxa" w:w="255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Typische Improvisation</w:t>
            </w:r>
          </w:p>
        </w:tc>
        <w:tc>
          <w:tcPr>
            <w:tcW w:type="dxa" w:w="1020"/>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Leitfaden</w:t>
            </w:r>
          </w:p>
        </w:tc>
      </w:tr>
      <w:tr>
        <w:trPr>
          <w:cantSplit w:val="true"/>
          <w:trHeight w:val="538" w:hRule="atLeast"/>
        </w:trPr>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Anlieferung</w:t>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55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02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t>
            </w:r>
          </w:p>
        </w:tc>
      </w:tr>
      <w:tr>
        <w:trPr>
          <w:cantSplit w:val="true"/>
          <w:trHeight w:val="538" w:hRule="atLeast"/>
        </w:trPr>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Küche: Vorbereitung</w:t>
            </w:r>
          </w:p>
        </w:tc>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55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02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t>
            </w:r>
          </w:p>
        </w:tc>
      </w:tr>
      <w:tr>
        <w:trPr>
          <w:cantSplit w:val="true"/>
          <w:trHeight w:val="538" w:hRule="atLeast"/>
        </w:trPr>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Küche: Garen</w:t>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55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02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t>
            </w:r>
          </w:p>
        </w:tc>
      </w:tr>
      <w:tr>
        <w:trPr>
          <w:cantSplit w:val="true"/>
          <w:trHeight w:val="538" w:hRule="atLeast"/>
        </w:trPr>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Spüle</w:t>
            </w:r>
          </w:p>
        </w:tc>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55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02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t>
            </w:r>
          </w:p>
        </w:tc>
      </w:tr>
      <w:tr>
        <w:trPr>
          <w:cantSplit w:val="true"/>
          <w:trHeight w:val="538" w:hRule="atLeast"/>
        </w:trPr>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Wäscherei</w:t>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55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02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t>
            </w:r>
          </w:p>
        </w:tc>
      </w:tr>
      <w:tr>
        <w:trPr>
          <w:cantSplit w:val="true"/>
          <w:trHeight w:val="538" w:hRule="atLeast"/>
        </w:trPr>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Etage</w:t>
            </w:r>
          </w:p>
        </w:tc>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55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02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t>
            </w:r>
          </w:p>
        </w:tc>
      </w:tr>
      <w:tr>
        <w:trPr>
          <w:cantSplit w:val="true"/>
          <w:trHeight w:val="538" w:hRule="atLeast"/>
        </w:trPr>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Bankett</w:t>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55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02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t>
            </w:r>
          </w:p>
        </w:tc>
      </w:tr>
      <w:tr>
        <w:trPr>
          <w:cantSplit w:val="true"/>
          <w:trHeight w:val="538" w:hRule="atLeast"/>
        </w:trPr>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Haustechnik</w:t>
            </w:r>
          </w:p>
        </w:tc>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55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02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t>
            </w:r>
          </w:p>
        </w:tc>
      </w:tr>
      <w:tr>
        <w:trPr>
          <w:cantSplit w:val="true"/>
          <w:trHeight w:val="538" w:hRule="atLeast"/>
        </w:trPr>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Empfang und Nacht</w:t>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55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02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t>
            </w:r>
          </w:p>
        </w:tc>
      </w:tr>
      <w:tr>
        <w:trPr>
          <w:cantSplit w:val="true"/>
          <w:trHeight w:val="538" w:hRule="atLeast"/>
        </w:trPr>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Küche: Endreinigung (nach Betriebsschluss)</w:t>
            </w:r>
          </w:p>
        </w:tc>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55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02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t>
            </w:r>
          </w:p>
        </w:tc>
      </w:tr>
      <w:tr>
        <w:trPr>
          <w:cantSplit w:val="true"/>
          <w:trHeight w:val="538" w:hRule="atLeast"/>
        </w:trPr>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Nachtdienst und Alleinarbeit</w:t>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55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02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t>
            </w:r>
          </w:p>
        </w:tc>
      </w:tr>
      <w:tr>
        <w:trPr>
          <w:cantSplit w:val="true"/>
          <w:trHeight w:val="538" w:hRule="atLeast"/>
        </w:trPr>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r>
          </w:p>
        </w:tc>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55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02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t>
            </w:r>
          </w:p>
        </w:tc>
      </w:tr>
      <w:tr>
        <w:trPr>
          <w:cantSplit w:val="true"/>
          <w:trHeight w:val="538" w:hRule="atLeast"/>
        </w:trPr>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55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02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t>
            </w:r>
          </w:p>
        </w:tc>
      </w:tr>
    </w:tbl>
    <w:p>
      <w:pPr>
        <w:spacing w:after="60"/>
      </w:pPr>
      <w:r>
        <w:rPr>
          <w:rFonts w:ascii="Aptos" w:hAnsi="Aptos" w:cs="Aptos" w:eastAsia="Aptos"/>
          <w:b w:val="0"/>
          <w:i/>
          <w:color w:val="7A6A55"/>
          <w:sz w:val="17"/>
        </w:rPr>
        <w:t>Vorbelegung der Prozessnamen: Beispiel Innsbruck (Abschnitt 3.5) und die zwei regelmäßig fehlenden Prozesse; Eintragungen in den übrigen Spalten sind Sache Ihres Hauses.</w:t>
      </w:r>
    </w:p>
    <w:p>
      <w:pPr>
        <w:keepNext/>
        <w:pageBreakBefore/>
        <w:spacing w:before="280" w:after="80"/>
        <w:pBdr>
          <w:bottom w:val="single" w:sz="6" w:space="2" w:color="C9BBA6"/>
        </w:pBdr>
      </w:pPr>
      <w:r>
        <w:rPr>
          <w:rFonts w:ascii="Aptos" w:hAnsi="Aptos" w:cs="Aptos" w:eastAsia="Aptos"/>
          <w:b/>
          <w:color w:val="8C5A2B"/>
          <w:sz w:val="28"/>
        </w:rPr>
        <w:t>3   Bereichsleitfaden: Muster mit der Rangfolge als Raster der Antwort</w:t>
      </w:r>
    </w:p>
    <w:tbl>
      <w:tblPr>
        <w:tblW w:type="auto" w:w="0"/>
        <w:tblLayout w:type="fixed"/>
        <w:tblLook w:firstColumn="1" w:firstRow="1" w:lastColumn="0" w:lastRow="0" w:noHBand="0" w:noVBand="1" w:val="04A0"/>
      </w:tblPr>
      <w:tblGrid>
        <w:gridCol w:w="1474"/>
        <w:gridCol w:w="1928"/>
        <w:gridCol w:w="1474"/>
        <w:gridCol w:w="1928"/>
        <w:gridCol w:w="1474"/>
        <w:gridCol w:w="1928"/>
      </w:tblGrid>
      <w:tr>
        <w:tc>
          <w:tcPr>
            <w:tcW w:type="dxa" w:w="1474"/>
          </w:tcPr>
          <w:p>
            <w:pPr>
              <w:spacing w:after="20"/>
            </w:pPr>
            <w:r>
              <w:rPr>
                <w:rFonts w:ascii="Aptos" w:hAnsi="Aptos" w:cs="Aptos" w:eastAsia="Aptos"/>
                <w:b/>
                <w:i w:val="0"/>
                <w:color w:val="8C5A2B"/>
                <w:sz w:val="19"/>
              </w:rPr>
              <w:t>Prozess / Bereich</w:t>
            </w:r>
          </w:p>
        </w:tc>
        <w:tc>
          <w:tcPr>
            <w:tcW w:type="dxa" w:w="1928"/>
            <w:tcBorders>
              <w:bottom w:val="single" w:sz="6" w:space="0" w:color="C9BBA6"/>
            </w:tcBorders>
          </w:tcPr>
          <w:p>
            <w:pPr>
              <w:spacing w:after="20"/>
            </w:pPr>
          </w:p>
        </w:tc>
        <w:tc>
          <w:tcPr>
            <w:tcW w:type="dxa" w:w="1474"/>
          </w:tcPr>
          <w:p>
            <w:pPr>
              <w:spacing w:after="20"/>
            </w:pPr>
            <w:r>
              <w:rPr>
                <w:rFonts w:ascii="Aptos" w:hAnsi="Aptos" w:cs="Aptos" w:eastAsia="Aptos"/>
                <w:b/>
                <w:i w:val="0"/>
                <w:color w:val="8C5A2B"/>
                <w:sz w:val="19"/>
              </w:rPr>
              <w:t>Kritische Stunde</w:t>
            </w:r>
          </w:p>
        </w:tc>
        <w:tc>
          <w:tcPr>
            <w:tcW w:type="dxa" w:w="1928"/>
            <w:tcBorders>
              <w:bottom w:val="single" w:sz="6" w:space="0" w:color="C9BBA6"/>
            </w:tcBorders>
          </w:tcPr>
          <w:p>
            <w:pPr>
              <w:spacing w:after="20"/>
            </w:pPr>
          </w:p>
        </w:tc>
        <w:tc>
          <w:tcPr>
            <w:tcW w:type="dxa" w:w="1474"/>
          </w:tcPr>
          <w:p>
            <w:pPr>
              <w:spacing w:after="20"/>
            </w:pPr>
            <w:r>
              <w:rPr>
                <w:rFonts w:ascii="Aptos" w:hAnsi="Aptos" w:cs="Aptos" w:eastAsia="Aptos"/>
                <w:b/>
                <w:i w:val="0"/>
                <w:color w:val="8C5A2B"/>
                <w:sz w:val="19"/>
              </w:rPr>
              <w:t>Beobachtungsposten</w:t>
            </w:r>
          </w:p>
        </w:tc>
        <w:tc>
          <w:tcPr>
            <w:tcW w:type="dxa" w:w="1928"/>
            <w:tcBorders>
              <w:bottom w:val="single" w:sz="6" w:space="0" w:color="C9BBA6"/>
            </w:tcBorders>
          </w:tcPr>
          <w:p>
            <w:pPr>
              <w:spacing w:after="20"/>
            </w:pPr>
          </w:p>
        </w:tc>
      </w:tr>
      <w:tr>
        <w:tc>
          <w:tcPr>
            <w:tcW w:type="dxa" w:w="1474"/>
          </w:tcPr>
          <w:p>
            <w:pPr>
              <w:spacing w:after="20"/>
            </w:pPr>
            <w:r>
              <w:rPr>
                <w:rFonts w:ascii="Aptos" w:hAnsi="Aptos" w:cs="Aptos" w:eastAsia="Aptos"/>
                <w:b/>
                <w:i w:val="0"/>
                <w:color w:val="8C5A2B"/>
                <w:sz w:val="19"/>
              </w:rPr>
              <w:t>Gültig ab</w:t>
            </w:r>
          </w:p>
        </w:tc>
        <w:tc>
          <w:tcPr>
            <w:tcW w:type="dxa" w:w="1928"/>
            <w:tcBorders>
              <w:bottom w:val="single" w:sz="6" w:space="0" w:color="C9BBA6"/>
            </w:tcBorders>
          </w:tcPr>
          <w:p>
            <w:pPr>
              <w:spacing w:after="20"/>
            </w:pPr>
          </w:p>
        </w:tc>
        <w:tc>
          <w:tcPr>
            <w:tcW w:type="dxa" w:w="1474"/>
          </w:tcPr>
          <w:p>
            <w:pPr>
              <w:spacing w:after="20"/>
            </w:pPr>
            <w:r>
              <w:rPr>
                <w:rFonts w:ascii="Aptos" w:hAnsi="Aptos" w:cs="Aptos" w:eastAsia="Aptos"/>
                <w:b/>
                <w:i w:val="0"/>
                <w:color w:val="8C5A2B"/>
                <w:sz w:val="19"/>
              </w:rPr>
              <w:t>Erstellt mit (Funktionen)</w:t>
            </w:r>
          </w:p>
        </w:tc>
        <w:tc>
          <w:tcPr>
            <w:tcW w:type="dxa" w:w="1928"/>
            <w:tcBorders>
              <w:bottom w:val="single" w:sz="6" w:space="0" w:color="C9BBA6"/>
            </w:tcBorders>
          </w:tcPr>
          <w:p>
            <w:pPr>
              <w:spacing w:after="20"/>
            </w:pPr>
          </w:p>
        </w:tc>
        <w:tc>
          <w:tcPr>
            <w:tcW w:type="dxa" w:w="1474"/>
          </w:tcPr>
          <w:p>
            <w:pPr>
              <w:spacing w:after="20"/>
            </w:pPr>
            <w:r>
              <w:rPr>
                <w:rFonts w:ascii="Aptos" w:hAnsi="Aptos" w:cs="Aptos" w:eastAsia="Aptos"/>
                <w:b/>
                <w:i w:val="0"/>
                <w:color w:val="8C5A2B"/>
                <w:sz w:val="19"/>
              </w:rPr>
              <w:t>Letzte Änderung</w:t>
            </w:r>
          </w:p>
        </w:tc>
        <w:tc>
          <w:tcPr>
            <w:tcW w:type="dxa" w:w="1928"/>
            <w:tcBorders>
              <w:bottom w:val="single" w:sz="6" w:space="0" w:color="C9BBA6"/>
            </w:tcBorders>
          </w:tcPr>
          <w:p>
            <w:pPr>
              <w:spacing w:after="20"/>
            </w:pPr>
          </w:p>
        </w:tc>
      </w:tr>
    </w:tbl>
    <w:tbl>
      <w:tblPr>
        <w:tblW w:type="auto" w:w="0"/>
        <w:jc w:val="center"/>
        <w:tblLayout w:type="fixed"/>
        <w:tblLook w:firstColumn="1" w:firstRow="1" w:lastColumn="0" w:lastRow="0" w:noHBand="0" w:noVBand="1" w:val="04A0"/>
      </w:tblPr>
      <w:tblGrid>
        <w:gridCol w:w="510"/>
        <w:gridCol w:w="2381"/>
        <w:gridCol w:w="2381"/>
        <w:gridCol w:w="2268"/>
        <w:gridCol w:w="425"/>
        <w:gridCol w:w="425"/>
        <w:gridCol w:w="425"/>
        <w:gridCol w:w="425"/>
        <w:gridCol w:w="425"/>
        <w:gridCol w:w="1417"/>
        <w:gridCol w:w="964"/>
        <w:gridCol w:w="2098"/>
      </w:tblGrid>
      <w:tr>
        <w:trPr>
          <w:tblHeader w:val="true"/>
        </w:trPr>
        <w:tc>
          <w:tcPr>
            <w:tcW w:type="dxa" w:w="510"/>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Nr.</w:t>
            </w:r>
          </w:p>
        </w:tc>
        <w:tc>
          <w:tcPr>
            <w:tcW w:type="dxa" w:w="238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Worauf schauen (Prüfpunkt)</w:t>
            </w:r>
          </w:p>
        </w:tc>
        <w:tc>
          <w:tcPr>
            <w:tcW w:type="dxa" w:w="238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Frage an die ausführende Person</w:t>
            </w:r>
          </w:p>
        </w:tc>
        <w:tc>
          <w:tcPr>
            <w:tcW w:type="dxa" w:w="226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Vorhandene Maßnahme, wie sie im Betrieb gilt</w:t>
            </w:r>
          </w:p>
        </w:tc>
        <w:tc>
          <w:tcPr>
            <w:tcW w:type="dxa" w:w="42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1</w:t>
            </w:r>
          </w:p>
        </w:tc>
        <w:tc>
          <w:tcPr>
            <w:tcW w:type="dxa" w:w="42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2</w:t>
            </w:r>
          </w:p>
        </w:tc>
        <w:tc>
          <w:tcPr>
            <w:tcW w:type="dxa" w:w="42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3</w:t>
            </w:r>
          </w:p>
        </w:tc>
        <w:tc>
          <w:tcPr>
            <w:tcW w:type="dxa" w:w="42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4</w:t>
            </w:r>
          </w:p>
        </w:tc>
        <w:tc>
          <w:tcPr>
            <w:tcW w:type="dxa" w:w="42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5</w:t>
            </w:r>
          </w:p>
        </w:tc>
        <w:tc>
          <w:tcPr>
            <w:tcW w:type="dxa" w:w="141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Höhere Stufen geprüft und begründet?</w:t>
            </w:r>
          </w:p>
        </w:tc>
        <w:tc>
          <w:tcPr>
            <w:tcW w:type="dxa" w:w="96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Wirkt im Betrieb?</w:t>
            </w:r>
          </w:p>
        </w:tc>
        <w:tc>
          <w:tcPr>
            <w:tcW w:type="dxa" w:w="209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Befund / Notiz</w:t>
            </w:r>
          </w:p>
        </w:tc>
      </w:tr>
      <w:tr>
        <w:trPr>
          <w:cantSplit w:val="true"/>
          <w:trHeight w:val="567" w:hRule="atLeast"/>
        </w:trPr>
        <w:tc>
          <w:tcPr>
            <w:tcW w:type="dxa" w:w="51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0</w:t>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Pflichtfrage, immer zuerst: Warum ist die vorhandene Maßnahme die vorhandene?</w:t>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Warum ist Schutzausrüstung hier die Maßnahme?</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42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141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 ja, begründet</w:t>
              <w:br/>
              <w:t>☐ nein</w:t>
            </w:r>
          </w:p>
        </w:tc>
        <w:tc>
          <w:tcPr>
            <w:tcW w:type="dxa" w:w="96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 ja</w:t>
              <w:br/>
              <w:t>☐ nein</w:t>
            </w:r>
          </w:p>
        </w:tc>
        <w:tc>
          <w:tcPr>
            <w:tcW w:type="dxa" w:w="209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67" w:hRule="atLeast"/>
        </w:trPr>
        <w:tc>
          <w:tcPr>
            <w:tcW w:type="dxa" w:w="51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1</w:t>
            </w:r>
          </w:p>
        </w:tc>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42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c>
          <w:tcPr>
            <w:tcW w:type="dxa" w:w="141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 ja</w:t>
              <w:br/>
              <w:t>☐ nein</w:t>
            </w:r>
          </w:p>
        </w:tc>
        <w:tc>
          <w:tcPr>
            <w:tcW w:type="dxa" w:w="96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 ja</w:t>
              <w:br/>
              <w:t>☐ nein</w:t>
            </w:r>
          </w:p>
        </w:tc>
        <w:tc>
          <w:tcPr>
            <w:tcW w:type="dxa" w:w="209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567" w:hRule="atLeast"/>
        </w:trPr>
        <w:tc>
          <w:tcPr>
            <w:tcW w:type="dxa" w:w="51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2</w:t>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42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141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 ja</w:t>
              <w:br/>
              <w:t>☐ nein</w:t>
            </w:r>
          </w:p>
        </w:tc>
        <w:tc>
          <w:tcPr>
            <w:tcW w:type="dxa" w:w="96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 ja</w:t>
              <w:br/>
              <w:t>☐ nein</w:t>
            </w:r>
          </w:p>
        </w:tc>
        <w:tc>
          <w:tcPr>
            <w:tcW w:type="dxa" w:w="209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67" w:hRule="atLeast"/>
        </w:trPr>
        <w:tc>
          <w:tcPr>
            <w:tcW w:type="dxa" w:w="51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3</w:t>
            </w:r>
          </w:p>
        </w:tc>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42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c>
          <w:tcPr>
            <w:tcW w:type="dxa" w:w="141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 ja</w:t>
              <w:br/>
              <w:t>☐ nein</w:t>
            </w:r>
          </w:p>
        </w:tc>
        <w:tc>
          <w:tcPr>
            <w:tcW w:type="dxa" w:w="96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 ja</w:t>
              <w:br/>
              <w:t>☐ nein</w:t>
            </w:r>
          </w:p>
        </w:tc>
        <w:tc>
          <w:tcPr>
            <w:tcW w:type="dxa" w:w="209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567" w:hRule="atLeast"/>
        </w:trPr>
        <w:tc>
          <w:tcPr>
            <w:tcW w:type="dxa" w:w="51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4</w:t>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42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141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 ja</w:t>
              <w:br/>
              <w:t>☐ nein</w:t>
            </w:r>
          </w:p>
        </w:tc>
        <w:tc>
          <w:tcPr>
            <w:tcW w:type="dxa" w:w="96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 ja</w:t>
              <w:br/>
              <w:t>☐ nein</w:t>
            </w:r>
          </w:p>
        </w:tc>
        <w:tc>
          <w:tcPr>
            <w:tcW w:type="dxa" w:w="209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67" w:hRule="atLeast"/>
        </w:trPr>
        <w:tc>
          <w:tcPr>
            <w:tcW w:type="dxa" w:w="51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5</w:t>
            </w:r>
          </w:p>
        </w:tc>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42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c>
          <w:tcPr>
            <w:tcW w:type="dxa" w:w="141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 ja</w:t>
              <w:br/>
              <w:t>☐ nein</w:t>
            </w:r>
          </w:p>
        </w:tc>
        <w:tc>
          <w:tcPr>
            <w:tcW w:type="dxa" w:w="96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 ja</w:t>
              <w:br/>
              <w:t>☐ nein</w:t>
            </w:r>
          </w:p>
        </w:tc>
        <w:tc>
          <w:tcPr>
            <w:tcW w:type="dxa" w:w="209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567" w:hRule="atLeast"/>
        </w:trPr>
        <w:tc>
          <w:tcPr>
            <w:tcW w:type="dxa" w:w="51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6</w:t>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42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141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 ja</w:t>
              <w:br/>
              <w:t>☐ nein</w:t>
            </w:r>
          </w:p>
        </w:tc>
        <w:tc>
          <w:tcPr>
            <w:tcW w:type="dxa" w:w="96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 ja</w:t>
              <w:br/>
              <w:t>☐ nein</w:t>
            </w:r>
          </w:p>
        </w:tc>
        <w:tc>
          <w:tcPr>
            <w:tcW w:type="dxa" w:w="209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67" w:hRule="atLeast"/>
        </w:trPr>
        <w:tc>
          <w:tcPr>
            <w:tcW w:type="dxa" w:w="51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7</w:t>
            </w:r>
          </w:p>
        </w:tc>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42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c>
          <w:tcPr>
            <w:tcW w:type="dxa" w:w="141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 ja</w:t>
              <w:br/>
              <w:t>☐ nein</w:t>
            </w:r>
          </w:p>
        </w:tc>
        <w:tc>
          <w:tcPr>
            <w:tcW w:type="dxa" w:w="96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 ja</w:t>
              <w:br/>
              <w:t>☐ nein</w:t>
            </w:r>
          </w:p>
        </w:tc>
        <w:tc>
          <w:tcPr>
            <w:tcW w:type="dxa" w:w="209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567" w:hRule="atLeast"/>
        </w:trPr>
        <w:tc>
          <w:tcPr>
            <w:tcW w:type="dxa" w:w="51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8</w:t>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42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42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141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 ja</w:t>
              <w:br/>
              <w:t>☐ nein</w:t>
            </w:r>
          </w:p>
        </w:tc>
        <w:tc>
          <w:tcPr>
            <w:tcW w:type="dxa" w:w="96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 ja</w:t>
              <w:br/>
              <w:t>☐ nein</w:t>
            </w:r>
          </w:p>
        </w:tc>
        <w:tc>
          <w:tcPr>
            <w:tcW w:type="dxa" w:w="209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bl>
    <w:p>
      <w:pPr>
        <w:spacing w:after="60"/>
      </w:pPr>
      <w:r>
        <w:rPr>
          <w:rFonts w:ascii="Aptos" w:hAnsi="Aptos" w:cs="Aptos" w:eastAsia="Aptos"/>
          <w:b w:val="0"/>
          <w:i/>
          <w:color w:val="7A6A55"/>
          <w:sz w:val="17"/>
        </w:rPr>
        <w:t>Kreuzen Sie in den Spalten 1 bis 5 die Stufe an, auf der die vorhandene Maßnahme steht. Endet sie auf Stufe 5, entsteht der Befund an der höheren Stufe, und der wirkt dauerhaft. Befunde, die oberhalb der Schutzausrüstung ansetzen, sind Investitionsvorschläge für die Budgetplanung, keine offenen Punkte im Auditbericht (Beispiel Innsbruck).</w:t>
      </w:r>
    </w:p>
    <w:p>
      <w:pPr>
        <w:keepNext/>
        <w:pageBreakBefore/>
        <w:spacing w:before="280" w:after="80"/>
        <w:pBdr>
          <w:bottom w:val="single" w:sz="6" w:space="2" w:color="C9BBA6"/>
        </w:pBdr>
      </w:pPr>
      <w:r>
        <w:rPr>
          <w:rFonts w:ascii="Aptos" w:hAnsi="Aptos" w:cs="Aptos" w:eastAsia="Aptos"/>
          <w:b/>
          <w:color w:val="8C5A2B"/>
          <w:sz w:val="28"/>
        </w:rPr>
        <w:t>4   Beispiel: Leitfaden Etage aus dem Band</w:t>
      </w:r>
    </w:p>
    <w:p>
      <w:pPr>
        <w:spacing w:after="80"/>
        <w:jc w:val="both"/>
      </w:pPr>
      <w:r>
        <w:rPr>
          <w:rFonts w:ascii="Aptos" w:hAnsi="Aptos" w:cs="Aptos" w:eastAsia="Aptos"/>
          <w:b w:val="0"/>
          <w:i w:val="0"/>
          <w:sz w:val="19"/>
        </w:rPr>
        <w:t>Der Etagenleitfaden fragt nach Zahlen und Abläufen, nicht nach Plaketten. Er zeigt, wie ein Leitfaden aussieht, der keinen einzigen Punkt der Maschinenliste übernimmt. Die Etage erzeugt in vielen Häusern die meisten Ausfalltage (Beispiel Innsbruck: 41 gegenüber 13 in der Küche).</w:t>
      </w:r>
    </w:p>
    <w:tbl>
      <w:tblPr>
        <w:tblW w:type="auto" w:w="0"/>
        <w:jc w:val="center"/>
        <w:tblLayout w:type="fixed"/>
        <w:tblLook w:firstColumn="1" w:firstRow="1" w:lastColumn="0" w:lastRow="0" w:noHBand="0" w:noVBand="1" w:val="04A0"/>
      </w:tblPr>
      <w:tblGrid>
        <w:gridCol w:w="2381"/>
        <w:gridCol w:w="4649"/>
        <w:gridCol w:w="5272"/>
        <w:gridCol w:w="2268"/>
      </w:tblGrid>
      <w:tr>
        <w:trPr>
          <w:tblHeader w:val="true"/>
        </w:trPr>
        <w:tc>
          <w:tcPr>
            <w:tcW w:type="dxa" w:w="238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Beispiel: Prüfpunkt</w:t>
            </w:r>
          </w:p>
        </w:tc>
        <w:tc>
          <w:tcPr>
            <w:tcW w:type="dxa" w:w="464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Was zu erheben ist</w:t>
            </w:r>
          </w:p>
        </w:tc>
        <w:tc>
          <w:tcPr>
            <w:tcW w:type="dxa" w:w="527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Woran ein Befund entsteht</w:t>
            </w:r>
          </w:p>
        </w:tc>
        <w:tc>
          <w:tcPr>
            <w:tcW w:type="dxa" w:w="226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Stufe der vorhandenen Maßnahme (1 bis 5)</w:t>
            </w:r>
          </w:p>
        </w:tc>
      </w:tr>
      <w:tr>
        <w:trPr>
          <w:cantSplit w:val="true"/>
          <w:trHeight w:val="425" w:hRule="atLeast"/>
        </w:trPr>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color w:val="7A6A55"/>
                <w:sz w:val="18"/>
              </w:rPr>
              <w:t>Zimmer je Schicht</w:t>
            </w:r>
          </w:p>
        </w:tc>
        <w:tc>
          <w:tcPr>
            <w:tcW w:type="dxa" w:w="464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color w:val="7A6A55"/>
                <w:sz w:val="18"/>
              </w:rPr>
              <w:t>Tatsächliche Zahl, nicht die geplante</w:t>
            </w:r>
          </w:p>
        </w:tc>
        <w:tc>
          <w:tcPr>
            <w:tcW w:type="dxa" w:w="527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color w:val="7A6A55"/>
                <w:sz w:val="18"/>
              </w:rPr>
              <w:t>Wenn die tatsächliche über der geplanten liegt: die Maßnahme Zeitvorgabe wirkt nicht</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color w:val="7A6A55"/>
                <w:sz w:val="18"/>
              </w:rPr>
            </w:r>
          </w:p>
        </w:tc>
      </w:tr>
      <w:tr>
        <w:trPr>
          <w:cantSplit w:val="true"/>
          <w:trHeight w:val="425" w:hRule="atLeast"/>
        </w:trP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color w:val="7A6A55"/>
                <w:sz w:val="18"/>
              </w:rPr>
              <w:t>Bettenwechsel</w:t>
            </w:r>
          </w:p>
        </w:tc>
        <w:tc>
          <w:tcPr>
            <w:tcW w:type="dxa" w:w="464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color w:val="7A6A55"/>
                <w:sz w:val="18"/>
              </w:rPr>
              <w:t>Wer dreht die Matratze, allein oder zu zweit, wie oft</w:t>
            </w:r>
          </w:p>
        </w:tc>
        <w:tc>
          <w:tcPr>
            <w:tcW w:type="dxa" w:w="527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color w:val="7A6A55"/>
                <w:sz w:val="18"/>
              </w:rPr>
              <w:t>Alleiniges Drehen schwerer Matratzen ohne Hilfsmittel</w:t>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color w:val="7A6A55"/>
                <w:sz w:val="18"/>
              </w:rPr>
            </w:r>
          </w:p>
        </w:tc>
      </w:tr>
      <w:tr>
        <w:trPr>
          <w:cantSplit w:val="true"/>
          <w:trHeight w:val="425" w:hRule="atLeast"/>
        </w:trPr>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color w:val="7A6A55"/>
                <w:sz w:val="18"/>
              </w:rPr>
              <w:t>Etagenwagen</w:t>
            </w:r>
          </w:p>
        </w:tc>
        <w:tc>
          <w:tcPr>
            <w:tcW w:type="dxa" w:w="464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color w:val="7A6A55"/>
                <w:sz w:val="18"/>
              </w:rPr>
              <w:t>Gewicht, Rollen, Griffhöhe, Beladung</w:t>
            </w:r>
          </w:p>
        </w:tc>
        <w:tc>
          <w:tcPr>
            <w:tcW w:type="dxa" w:w="527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color w:val="7A6A55"/>
                <w:sz w:val="18"/>
              </w:rPr>
              <w:t>Wagen, die geschoben werden müssen, weil die Rollen klemmen</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color w:val="7A6A55"/>
                <w:sz w:val="18"/>
              </w:rPr>
            </w:r>
          </w:p>
        </w:tc>
      </w:tr>
      <w:tr>
        <w:trPr>
          <w:cantSplit w:val="true"/>
          <w:trHeight w:val="425" w:hRule="atLeast"/>
        </w:trP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color w:val="7A6A55"/>
                <w:sz w:val="18"/>
              </w:rPr>
              <w:t>Chemie im Wagen</w:t>
            </w:r>
          </w:p>
        </w:tc>
        <w:tc>
          <w:tcPr>
            <w:tcW w:type="dxa" w:w="464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color w:val="7A6A55"/>
                <w:sz w:val="18"/>
              </w:rPr>
              <w:t>Originalbehälter oder Sprühflasche, Kennzeichnung, Mischverbot</w:t>
            </w:r>
          </w:p>
        </w:tc>
        <w:tc>
          <w:tcPr>
            <w:tcW w:type="dxa" w:w="527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color w:val="7A6A55"/>
                <w:sz w:val="18"/>
              </w:rPr>
              <w:t>Umfüllung ohne Kennzeichnung: der häufigste Befund der Etage</w:t>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color w:val="7A6A55"/>
                <w:sz w:val="18"/>
              </w:rPr>
            </w:r>
          </w:p>
        </w:tc>
      </w:tr>
      <w:tr>
        <w:trPr>
          <w:cantSplit w:val="true"/>
          <w:trHeight w:val="425" w:hRule="atLeast"/>
        </w:trPr>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color w:val="7A6A55"/>
                <w:sz w:val="18"/>
              </w:rPr>
              <w:t>Haut</w:t>
            </w:r>
          </w:p>
        </w:tc>
        <w:tc>
          <w:tcPr>
            <w:tcW w:type="dxa" w:w="464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color w:val="7A6A55"/>
                <w:sz w:val="18"/>
              </w:rPr>
              <w:t>Handschuhe vorhanden, passend, Hautschutzplan</w:t>
            </w:r>
          </w:p>
        </w:tc>
        <w:tc>
          <w:tcPr>
            <w:tcW w:type="dxa" w:w="527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color w:val="7A6A55"/>
                <w:sz w:val="18"/>
              </w:rPr>
              <w:t>Kein Hautschutzplan, obwohl Feuchtarbeit vorliegt</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color w:val="7A6A55"/>
                <w:sz w:val="18"/>
              </w:rPr>
            </w:r>
          </w:p>
        </w:tc>
      </w:tr>
      <w:tr>
        <w:trPr>
          <w:cantSplit w:val="true"/>
          <w:trHeight w:val="425" w:hRule="atLeast"/>
        </w:trP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color w:val="7A6A55"/>
                <w:sz w:val="18"/>
              </w:rPr>
              <w:t>Alleinarbeit im Zimmer</w:t>
            </w:r>
          </w:p>
        </w:tc>
        <w:tc>
          <w:tcPr>
            <w:tcW w:type="dxa" w:w="464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color w:val="7A6A55"/>
                <w:sz w:val="18"/>
              </w:rPr>
              <w:t>Was gilt, wenn ein Gast im Zimmer ist oder wird</w:t>
            </w:r>
          </w:p>
        </w:tc>
        <w:tc>
          <w:tcPr>
            <w:tcW w:type="dxa" w:w="527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color w:val="7A6A55"/>
                <w:sz w:val="18"/>
              </w:rPr>
              <w:t>Keine Regelung für den Fall der Belästigung</w:t>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color w:val="7A6A55"/>
                <w:sz w:val="18"/>
              </w:rPr>
            </w:r>
          </w:p>
        </w:tc>
      </w:tr>
      <w:tr>
        <w:trPr>
          <w:cantSplit w:val="true"/>
          <w:trHeight w:val="425" w:hRule="atLeast"/>
        </w:trPr>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color w:val="7A6A55"/>
                <w:sz w:val="18"/>
              </w:rPr>
              <w:t>Meldewege</w:t>
            </w:r>
          </w:p>
        </w:tc>
        <w:tc>
          <w:tcPr>
            <w:tcW w:type="dxa" w:w="464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color w:val="7A6A55"/>
                <w:sz w:val="18"/>
              </w:rPr>
              <w:t>Wie eine defekte Rolle oder ein fehlender Handschuh gemeldet wird</w:t>
            </w:r>
          </w:p>
        </w:tc>
        <w:tc>
          <w:tcPr>
            <w:tcW w:type="dxa" w:w="527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color w:val="7A6A55"/>
                <w:sz w:val="18"/>
              </w:rPr>
              <w:t>Meldung erfolgt mündlich und versandet</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color w:val="7A6A55"/>
                <w:sz w:val="18"/>
              </w:rPr>
            </w:r>
          </w:p>
        </w:tc>
      </w:tr>
    </w:tbl>
    <w:p>
      <w:pPr>
        <w:keepNext/>
        <w:spacing w:before="160" w:after="60"/>
      </w:pPr>
      <w:r>
        <w:rPr>
          <w:rFonts w:ascii="Aptos" w:hAnsi="Aptos" w:cs="Aptos" w:eastAsia="Aptos"/>
          <w:b/>
          <w:color w:val="8C5A2B"/>
          <w:sz w:val="23"/>
        </w:rPr>
        <w:t>Zwei Fragen, die in jeden Leitfaden gehören</w:t>
      </w:r>
    </w:p>
    <w:tbl>
      <w:tblPr>
        <w:tblW w:type="auto" w:w="0"/>
        <w:jc w:val="center"/>
        <w:tblLayout w:type="fixed"/>
        <w:tblLook w:firstColumn="1" w:firstRow="1" w:lastColumn="0" w:lastRow="0" w:noHBand="0" w:noVBand="1" w:val="04A0"/>
      </w:tblPr>
      <w:tblGrid>
        <w:gridCol w:w="4535"/>
        <w:gridCol w:w="6803"/>
        <w:gridCol w:w="3231"/>
      </w:tblGrid>
      <w:tr>
        <w:trPr>
          <w:tblHeader w:val="true"/>
        </w:trPr>
        <w:tc>
          <w:tcPr>
            <w:tcW w:type="dxa" w:w="453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Frage</w:t>
            </w:r>
          </w:p>
        </w:tc>
        <w:tc>
          <w:tcPr>
            <w:tcW w:type="dxa" w:w="6803"/>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Warum</w:t>
            </w:r>
          </w:p>
        </w:tc>
        <w:tc>
          <w:tcPr>
            <w:tcW w:type="dxa" w:w="323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Notiz</w:t>
            </w:r>
          </w:p>
        </w:tc>
      </w:tr>
      <w:tr>
        <w:trPr>
          <w:cantSplit w:val="true"/>
          <w:trHeight w:val="907" w:hRule="atLeast"/>
        </w:trPr>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«Was ist hier in den letzten zwölf Monaten anders geworden?» (an die Person, die den Prozess ausführt, nicht an die Bereichsleitung)</w:t>
            </w:r>
          </w:p>
        </w:tc>
        <w:tc>
          <w:tcPr>
            <w:tcW w:type="dxa" w:w="680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Zwei Antworten sind zu erwarten: «Wir sind zu zweit, wo wir früher zu dritt waren» (Änderung nach 8.1.3: Gefährdungsbeurteilung überprüfen, auch ohne neues Gerät) und «Das Mittel ist ein anderes, seit der Lieferant gewechselt hat» (ebenfalls eine Änderung).</w:t>
            </w:r>
          </w:p>
        </w:tc>
        <w:tc>
          <w:tcPr>
            <w:tcW w:type="dxa" w:w="32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907" w:hRule="atLeast"/>
        </w:trPr>
        <w:tc>
          <w:tcPr>
            <w:tcW w:type="dxa" w:w="45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Ausgelagerter Prozess (8.1.4): Wer stellt was?</w:t>
            </w:r>
          </w:p>
        </w:tc>
        <w:tc>
          <w:tcPr>
            <w:tcW w:type="dxa" w:w="6803"/>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Der Prozess wird auditiert, nicht der Vertrag. Was das Haus stellt (Wagen, Chemie, Räume, Wege, Zeitfenster), ist vollständig seine Verantwortung; was der Dienstleister stellt (Unterweisung, Schutzausrüstung, Eignung), wird über Vereinbarung und Nachweise geprüft, nicht über Vertrauen. Typischer Befund: Niemand hat die Unterweisung auf die Chemie abgestimmt, die tatsächlich im Wagen steht.</w:t>
            </w:r>
          </w:p>
        </w:tc>
        <w:tc>
          <w:tcPr>
            <w:tcW w:type="dxa" w:w="323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bl>
    <w:p>
      <w:pPr>
        <w:keepNext/>
        <w:pageBreakBefore/>
        <w:spacing w:before="280" w:after="80"/>
        <w:pBdr>
          <w:bottom w:val="single" w:sz="6" w:space="2" w:color="C9BBA6"/>
        </w:pBdr>
      </w:pPr>
      <w:r>
        <w:rPr>
          <w:rFonts w:ascii="Aptos" w:hAnsi="Aptos" w:cs="Aptos" w:eastAsia="Aptos"/>
          <w:b/>
          <w:color w:val="8C5A2B"/>
          <w:sz w:val="28"/>
        </w:rPr>
        <w:t>5   Die zwei Prozesse, die regelmäßig durch das Raster fallen</w:t>
      </w:r>
    </w:p>
    <w:p>
      <w:pPr>
        <w:spacing w:after="80"/>
        <w:jc w:val="both"/>
      </w:pPr>
      <w:r>
        <w:rPr>
          <w:rFonts w:ascii="Aptos" w:hAnsi="Aptos" w:cs="Aptos" w:eastAsia="Aptos"/>
          <w:b w:val="0"/>
          <w:i w:val="0"/>
          <w:sz w:val="19"/>
        </w:rPr>
        <w:t>Endreinigung und Nachtdienst haben dieselbe Eigenschaft: Sie finden statt, wenn der Auditor nicht da ist. Für beide gehört ein Termin mit Uhrzeit in das Jahresraster (Abschnitt 3.3); was nicht im Plan steht, findet nicht statt.</w:t>
      </w:r>
    </w:p>
    <w:tbl>
      <w:tblPr>
        <w:tblW w:type="auto" w:w="0"/>
        <w:jc w:val="center"/>
        <w:tblLayout w:type="fixed"/>
        <w:tblLook w:firstColumn="1" w:firstRow="1" w:lastColumn="0" w:lastRow="0" w:noHBand="0" w:noVBand="1" w:val="04A0"/>
      </w:tblPr>
      <w:tblGrid>
        <w:gridCol w:w="1701"/>
        <w:gridCol w:w="6350"/>
        <w:gridCol w:w="6520"/>
      </w:tblGrid>
      <w:tr>
        <w:trPr>
          <w:tblHeader w:val="true"/>
        </w:trPr>
        <w:tc>
          <w:tcPr>
            <w:tcW w:type="dxa" w:w="170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r>
          </w:p>
        </w:tc>
        <w:tc>
          <w:tcPr>
            <w:tcW w:type="dxa" w:w="6350"/>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Küche: Endreinigung</w:t>
            </w:r>
          </w:p>
        </w:tc>
        <w:tc>
          <w:tcPr>
            <w:tcW w:type="dxa" w:w="6520"/>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Nachtdienst und Alleinarbeit</w:t>
            </w:r>
          </w:p>
        </w:tc>
      </w:tr>
      <w:tr>
        <w:trPr>
          <w:cantSplit w:val="true"/>
          <w:trHeight w:val="453" w:hRule="atLeast"/>
        </w:trPr>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Zeitstruktur</w:t>
            </w:r>
          </w:p>
        </w:tc>
        <w:tc>
          <w:tcPr>
            <w:tcW w:type="dxa" w:w="635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Nach Betriebsschluss, wenn das Haus leer ist: spät, unter Zeitdruck</w:t>
            </w:r>
          </w:p>
        </w:tc>
        <w:tc>
          <w:tcPr>
            <w:tcW w:type="dxa" w:w="652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Nacht; ein Nachtaudit dauert nicht die ganze Nacht: zwei Stunden zwischen zwei und vier Uhr genügen</w:t>
            </w:r>
          </w:p>
        </w:tc>
      </w:tr>
      <w:tr>
        <w:trPr>
          <w:cantSplit w:val="true"/>
          <w:trHeight w:val="453" w:hRule="atLeast"/>
        </w:trPr>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Was gefährdet</w:t>
            </w:r>
          </w:p>
        </w:tc>
        <w:tc>
          <w:tcPr>
            <w:tcW w:type="dxa" w:w="635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Chemie in Konzentration, Leitern, Müdigkeit, Alleinarbeit; oft eine einzelne Person, mit den schärfsten Mitteln des ganzen Betriebs</w:t>
            </w:r>
          </w:p>
        </w:tc>
        <w:tc>
          <w:tcPr>
            <w:tcW w:type="dxa" w:w="652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Kaum Energieformen, praktisch keine Maschinen; eine Person allein in einem Gebäude mit Gästen; Müdigkeit zwischen drei und fünf; die Möglichkeit eines Übergriffs</w:t>
            </w:r>
          </w:p>
        </w:tc>
      </w:tr>
      <w:tr>
        <w:trPr>
          <w:cantSplit w:val="true"/>
          <w:trHeight w:val="453" w:hRule="atLeast"/>
        </w:trPr>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Warum sie fehlen</w:t>
            </w:r>
          </w:p>
        </w:tc>
        <w:tc>
          <w:tcPr>
            <w:tcW w:type="dxa" w:w="635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Vereint vier Gefährdungsmerkmale und wird in den meisten Auditprogrammen kein einziges Mal geprüft</w:t>
            </w:r>
          </w:p>
        </w:tc>
        <w:tc>
          <w:tcPr>
            <w:tcW w:type="dxa" w:w="652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Der Nachtdienst findet statt, wenn der Auditor schläft</w:t>
            </w:r>
          </w:p>
        </w:tc>
      </w:tr>
      <w:tr>
        <w:trPr>
          <w:cantSplit w:val="true"/>
          <w:trHeight w:val="453" w:hRule="atLeast"/>
        </w:trPr>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Was zu klären ist</w:t>
            </w:r>
          </w:p>
        </w:tc>
        <w:tc>
          <w:tcPr>
            <w:tcW w:type="dxa" w:w="635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 Wer reinigt, allein oder zu zweit, und was gilt, wenn etwas passiert?</w:t>
              <w:br/>
              <w:t>☐ Welche Chemie, in welcher Konzentration, wie angesetzt?</w:t>
              <w:br/>
              <w:t>☐ Wie kommt jemand an hohe Stellen?</w:t>
              <w:br/>
              <w:t>☐ Was fällt weg, wenn es spät wird?</w:t>
              <w:br/>
              <w:t>☐ Warum ist Schutzausrüstung hier die Maßnahme?</w:t>
              <w:br/>
              <w:t>(Anregungen aus den vier Merkmalen, vom Haus anzupassen)</w:t>
            </w:r>
          </w:p>
        </w:tc>
        <w:tc>
          <w:tcPr>
            <w:tcW w:type="dxa" w:w="652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 Funktioniert der Notruf, und würde die diensthabende Person ihn im Ernstfall tatsächlich benutzen?</w:t>
              <w:br/>
              <w:t>☐ Verlässt sie das Haus für Aufgaben, die niemand ihr aufgetragen hat?</w:t>
              <w:br/>
              <w:t>☐ Gibt es eine Regelung für den Gast, der um halb vier aggressiv an der Rezeption steht?</w:t>
              <w:br/>
              <w:t>☐ Merkt jemand, wenn in dieser Nacht nichts mehr von ihr kommt?</w:t>
            </w:r>
          </w:p>
        </w:tc>
      </w:tr>
    </w:tbl>
    <w:p>
      <w:pPr>
        <w:keepNext/>
        <w:spacing w:before="160" w:after="60"/>
      </w:pPr>
      <w:r>
        <w:rPr>
          <w:rFonts w:ascii="Aptos" w:hAnsi="Aptos" w:cs="Aptos" w:eastAsia="Aptos"/>
          <w:b/>
          <w:color w:val="8C5A2B"/>
          <w:sz w:val="23"/>
        </w:rPr>
        <w:t>Termin im Jahresraster</w:t>
      </w:r>
    </w:p>
    <w:tbl>
      <w:tblPr>
        <w:tblW w:type="auto" w:w="0"/>
        <w:jc w:val="center"/>
        <w:tblLayout w:type="fixed"/>
        <w:tblLook w:firstColumn="1" w:firstRow="1" w:lastColumn="0" w:lastRow="0" w:noHBand="0" w:noVBand="1" w:val="04A0"/>
      </w:tblPr>
      <w:tblGrid>
        <w:gridCol w:w="2608"/>
        <w:gridCol w:w="2041"/>
        <w:gridCol w:w="1928"/>
        <w:gridCol w:w="3175"/>
        <w:gridCol w:w="2835"/>
        <w:gridCol w:w="1984"/>
      </w:tblGrid>
      <w:tr>
        <w:trPr>
          <w:tblHeader w:val="true"/>
        </w:trPr>
        <w:tc>
          <w:tcPr>
            <w:tcW w:type="dxa" w:w="260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Prozess</w:t>
            </w:r>
          </w:p>
        </w:tc>
        <w:tc>
          <w:tcPr>
            <w:tcW w:type="dxa" w:w="204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Monat / Wochentag</w:t>
            </w:r>
          </w:p>
        </w:tc>
        <w:tc>
          <w:tcPr>
            <w:tcW w:type="dxa" w:w="19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Uhrzeit von – bis</w:t>
            </w:r>
          </w:p>
        </w:tc>
        <w:tc>
          <w:tcPr>
            <w:tcW w:type="dxa" w:w="317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Auditor/in (nicht der Verantwortliche des Prozesses)</w:t>
            </w:r>
          </w:p>
        </w:tc>
        <w:tc>
          <w:tcPr>
            <w:tcW w:type="dxa" w:w="283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Beobachtungsposten</w:t>
            </w:r>
          </w:p>
        </w:tc>
        <w:tc>
          <w:tcPr>
            <w:tcW w:type="dxa" w:w="198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Tag angekündigt?</w:t>
            </w:r>
          </w:p>
        </w:tc>
      </w:tr>
      <w:tr>
        <w:trPr>
          <w:cantSplit w:val="true"/>
          <w:trHeight w:val="567"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Küche: Endreinigung</w:t>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98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 ja  ☐ nein</w:t>
            </w:r>
          </w:p>
        </w:tc>
      </w:tr>
      <w:tr>
        <w:trPr>
          <w:cantSplit w:val="true"/>
          <w:trHeight w:val="567"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Nachtdienst und Alleinarbeit</w:t>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98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 ja  ☐ nein</w:t>
            </w:r>
          </w:p>
        </w:tc>
      </w:tr>
    </w:tbl>
    <w:p>
      <w:pPr>
        <w:spacing w:after="60"/>
      </w:pPr>
      <w:r>
        <w:rPr>
          <w:rFonts w:ascii="Aptos" w:hAnsi="Aptos" w:cs="Aptos" w:eastAsia="Aptos"/>
          <w:b w:val="0"/>
          <w:i/>
          <w:color w:val="7A6A55"/>
          <w:sz w:val="17"/>
        </w:rPr>
        <w:t>Der Band nennt für die Endreinigung nur «nach Betriebsschluss» und für den Nachtaudit zwei Stunden zwischen zwei und vier Uhr; die Uhrzeit legt das Haus fest. Der Auditor erhält für Termine außerhalb der Bürozeit Zeitausgleich, und der Termin wird in der Leitungsrunde genannt (Abschnitt 3.3).</w:t>
      </w:r>
    </w:p>
    <w:tbl>
      <w:tblPr>
        <w:tblW w:type="auto" w:w="0"/>
        <w:jc w:val="center"/>
        <w:tblLayout w:type="fixed"/>
        <w:tblLook w:firstColumn="1" w:firstRow="1" w:lastColumn="0" w:lastRow="0" w:noHBand="0" w:noVBand="1" w:val="04A0"/>
      </w:tblPr>
      <w:tblGrid>
        <w:gridCol w:w="5102"/>
        <w:gridCol w:w="9468"/>
      </w:tblGrid>
      <w:tr>
        <w:trPr>
          <w:tblHeader w:val="true"/>
        </w:trPr>
        <w:tc>
          <w:tcPr>
            <w:tcW w:type="dxa" w:w="510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Nachtdienst: Regelung, die feststellt, dass er noch handlungsfähig ist (ein Anruf zu festgelegter Zeit genügt)</w:t>
            </w:r>
          </w:p>
        </w:tc>
        <w:tc>
          <w:tcPr>
            <w:tcW w:type="dxa" w:w="946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r>
          </w:p>
        </w:tc>
      </w:tr>
      <w:tr>
        <w:trPr>
          <w:cantSplit w:val="true"/>
          <w:trHeight w:val="368" w:hRule="atLeast"/>
        </w:trPr>
        <w:tc>
          <w:tcPr>
            <w:tcW w:type="dxa" w:w="51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Anruf zu festgelegter Zeit: Uhrzeit</w:t>
            </w:r>
          </w:p>
        </w:tc>
        <w:tc>
          <w:tcPr>
            <w:tcW w:type="dxa" w:w="94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368" w:hRule="atLeast"/>
        </w:trPr>
        <w:tc>
          <w:tcPr>
            <w:tcW w:type="dxa" w:w="51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Wer ruft an?</w:t>
            </w:r>
          </w:p>
        </w:tc>
        <w:tc>
          <w:tcPr>
            <w:tcW w:type="dxa" w:w="94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368" w:hRule="atLeast"/>
        </w:trPr>
        <w:tc>
          <w:tcPr>
            <w:tcW w:type="dxa" w:w="51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Was geschieht, wenn niemand abnimmt?</w:t>
            </w:r>
          </w:p>
        </w:tc>
        <w:tc>
          <w:tcPr>
            <w:tcW w:type="dxa" w:w="94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bl>
    <w:p>
      <w:pPr>
        <w:keepNext/>
        <w:pageBreakBefore/>
        <w:spacing w:before="280" w:after="80"/>
        <w:pBdr>
          <w:bottom w:val="single" w:sz="6" w:space="2" w:color="C9BBA6"/>
        </w:pBdr>
      </w:pPr>
      <w:r>
        <w:rPr>
          <w:rFonts w:ascii="Aptos" w:hAnsi="Aptos" w:cs="Aptos" w:eastAsia="Aptos"/>
          <w:b/>
          <w:color w:val="8C5A2B"/>
          <w:sz w:val="28"/>
        </w:rPr>
        <w:t>6   Gegenprobe: Meldungen gegen Ausfalltage</w:t>
      </w:r>
    </w:p>
    <w:p>
      <w:pPr>
        <w:spacing w:after="80"/>
        <w:jc w:val="both"/>
      </w:pPr>
      <w:r>
        <w:rPr>
          <w:rFonts w:ascii="Aptos" w:hAnsi="Aptos" w:cs="Aptos" w:eastAsia="Aptos"/>
          <w:b w:val="0"/>
          <w:i w:val="0"/>
          <w:sz w:val="19"/>
        </w:rPr>
        <w:t>Meldungen und Ausfalltage je Bereich nebeneinander: Wo die Rangfolgen auseinanderfallen, liegt die Lücke des bisherigen Auditprogramms. Die Zahl der Meldungen ist die falsche Kennzahl.</w:t>
      </w:r>
    </w:p>
    <w:tbl>
      <w:tblPr>
        <w:tblW w:type="auto" w:w="0"/>
        <w:jc w:val="center"/>
        <w:tblLayout w:type="fixed"/>
        <w:tblLook w:firstColumn="1" w:firstRow="1" w:lastColumn="0" w:lastRow="0" w:noHBand="0" w:noVBand="1" w:val="04A0"/>
      </w:tblPr>
      <w:tblGrid>
        <w:gridCol w:w="2835"/>
        <w:gridCol w:w="2551"/>
        <w:gridCol w:w="1361"/>
        <w:gridCol w:w="2665"/>
        <w:gridCol w:w="1361"/>
        <w:gridCol w:w="3798"/>
      </w:tblGrid>
      <w:tr>
        <w:trPr>
          <w:tblHeader w:val="true"/>
        </w:trPr>
        <w:tc>
          <w:tcPr>
            <w:tcW w:type="dxa" w:w="283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Bereich</w:t>
            </w:r>
          </w:p>
        </w:tc>
        <w:tc>
          <w:tcPr>
            <w:tcW w:type="dxa" w:w="255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Meldungen (3 Jahre)</w:t>
            </w:r>
          </w:p>
        </w:tc>
        <w:tc>
          <w:tcPr>
            <w:tcW w:type="dxa" w:w="136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Rang</w:t>
            </w:r>
          </w:p>
        </w:tc>
        <w:tc>
          <w:tcPr>
            <w:tcW w:type="dxa" w:w="266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Ausfalltage (3 Jahre)</w:t>
            </w:r>
          </w:p>
        </w:tc>
        <w:tc>
          <w:tcPr>
            <w:tcW w:type="dxa" w:w="136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Rang</w:t>
            </w:r>
          </w:p>
        </w:tc>
        <w:tc>
          <w:tcPr>
            <w:tcW w:type="dxa" w:w="379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Rangfolgen weichen ab?</w:t>
            </w:r>
          </w:p>
        </w:tc>
      </w:tr>
      <w:tr>
        <w:trPr>
          <w:cantSplit w:val="true"/>
          <w:trHeight w:val="255" w:hRule="atLeast"/>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Küche</w:t>
            </w:r>
          </w:p>
        </w:tc>
        <w:tc>
          <w:tcPr>
            <w:tcW w:type="dxa" w:w="255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66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79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 ja  ☐ nein</w:t>
            </w:r>
          </w:p>
        </w:tc>
      </w:tr>
      <w:tr>
        <w:trPr>
          <w:cantSplit w:val="true"/>
          <w:trHeight w:val="255" w:hRule="atLeast"/>
        </w:trPr>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Haustechnik</w:t>
            </w:r>
          </w:p>
        </w:tc>
        <w:tc>
          <w:tcPr>
            <w:tcW w:type="dxa" w:w="255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266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379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 ja  ☐ nein</w:t>
            </w:r>
          </w:p>
        </w:tc>
      </w:tr>
      <w:tr>
        <w:trPr>
          <w:cantSplit w:val="true"/>
          <w:trHeight w:val="255" w:hRule="atLeast"/>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Wäscherei</w:t>
            </w:r>
          </w:p>
        </w:tc>
        <w:tc>
          <w:tcPr>
            <w:tcW w:type="dxa" w:w="255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66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79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 ja  ☐ nein</w:t>
            </w:r>
          </w:p>
        </w:tc>
      </w:tr>
      <w:tr>
        <w:trPr>
          <w:cantSplit w:val="true"/>
          <w:trHeight w:val="255" w:hRule="atLeast"/>
        </w:trPr>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Etage</w:t>
            </w:r>
          </w:p>
        </w:tc>
        <w:tc>
          <w:tcPr>
            <w:tcW w:type="dxa" w:w="255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266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379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 ja  ☐ nein</w:t>
            </w:r>
          </w:p>
        </w:tc>
      </w:tr>
      <w:tr>
        <w:trPr>
          <w:cantSplit w:val="true"/>
          <w:trHeight w:val="255" w:hRule="atLeast"/>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Bankett</w:t>
            </w:r>
          </w:p>
        </w:tc>
        <w:tc>
          <w:tcPr>
            <w:tcW w:type="dxa" w:w="255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66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79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 ja  ☐ nein</w:t>
            </w:r>
          </w:p>
        </w:tc>
      </w:tr>
      <w:tr>
        <w:trPr>
          <w:cantSplit w:val="true"/>
          <w:trHeight w:val="255" w:hRule="atLeast"/>
        </w:trPr>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Empfang und Nacht</w:t>
            </w:r>
          </w:p>
        </w:tc>
        <w:tc>
          <w:tcPr>
            <w:tcW w:type="dxa" w:w="255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266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379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 ja  ☐ nein</w:t>
            </w:r>
          </w:p>
        </w:tc>
      </w:tr>
    </w:tbl>
    <w:p>
      <w:pPr>
        <w:keepNext/>
        <w:pageBreakBefore w:val="0"/>
        <w:spacing w:before="280" w:after="80"/>
        <w:pBdr>
          <w:bottom w:val="single" w:sz="6" w:space="2" w:color="C9BBA6"/>
        </w:pBdr>
      </w:pPr>
      <w:r>
        <w:rPr>
          <w:rFonts w:ascii="Aptos" w:hAnsi="Aptos" w:cs="Aptos" w:eastAsia="Aptos"/>
          <w:b/>
          <w:color w:val="8C5A2B"/>
          <w:sz w:val="28"/>
        </w:rPr>
        <w:t>Bereichsspezifisches Recht: wo nachsehen</w:t>
      </w:r>
    </w:p>
    <w:p>
      <w:pPr>
        <w:spacing w:after="60"/>
      </w:pPr>
      <w:r>
        <w:rPr>
          <w:rFonts w:ascii="Aptos" w:hAnsi="Aptos" w:cs="Aptos" w:eastAsia="Aptos"/>
          <w:b w:val="0"/>
          <w:i w:val="0"/>
          <w:color w:val="7A6A55"/>
          <w:sz w:val="18"/>
        </w:rPr>
        <w:t>Der Auditor muss die Vorschriften nicht auswendig kennen, aber wissen, wo er nachsieht; ein Befund mit Rechtsgrundlage wird anders gelesen (Abschnitt 3.5).</w:t>
      </w:r>
    </w:p>
    <w:tbl>
      <w:tblPr>
        <w:tblW w:type="auto" w:w="0"/>
        <w:jc w:val="center"/>
        <w:tblLayout w:type="fixed"/>
        <w:tblLook w:firstColumn="1" w:firstRow="1" w:lastColumn="0" w:lastRow="0" w:noHBand="0" w:noVBand="1" w:val="04A0"/>
      </w:tblPr>
      <w:tblGrid>
        <w:gridCol w:w="2665"/>
        <w:gridCol w:w="3742"/>
        <w:gridCol w:w="3969"/>
        <w:gridCol w:w="4195"/>
      </w:tblGrid>
      <w:tr>
        <w:trPr>
          <w:tblHeader w:val="true"/>
        </w:trPr>
        <w:tc>
          <w:tcPr>
            <w:tcW w:type="dxa" w:w="266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6"/>
              </w:rPr>
              <w:t>Prozess</w:t>
            </w:r>
          </w:p>
        </w:tc>
        <w:tc>
          <w:tcPr>
            <w:tcW w:type="dxa" w:w="374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6"/>
              </w:rPr>
              <w:t>Deutschland</w:t>
            </w:r>
          </w:p>
        </w:tc>
        <w:tc>
          <w:tcPr>
            <w:tcW w:type="dxa" w:w="396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6"/>
              </w:rPr>
              <w:t>Österreich</w:t>
            </w:r>
          </w:p>
        </w:tc>
        <w:tc>
          <w:tcPr>
            <w:tcW w:type="dxa" w:w="419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6"/>
              </w:rPr>
              <w:t>Schweiz</w:t>
            </w:r>
          </w:p>
        </w:tc>
      </w:tr>
      <w:tr>
        <w:trPr>
          <w:cantSplit w:val="true"/>
          <w:trHeight w:val="283" w:hRule="atLeast"/>
        </w:trPr>
        <w:tc>
          <w:tcPr>
            <w:tcW w:type="dxa" w:w="266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6"/>
              </w:rPr>
              <w:t>Gefahrstoffe / Reinigungschemie</w:t>
            </w:r>
          </w:p>
        </w:tc>
        <w:tc>
          <w:tcPr>
            <w:tcW w:type="dxa" w:w="374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GefStoffV, CLP, Sicherheitsdatenblätter, Betriebsanweisung</w:t>
            </w:r>
          </w:p>
        </w:tc>
        <w:tc>
          <w:tcPr>
            <w:tcW w:type="dxa" w:w="39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GKV: Grenzwerteverordnung, CLP, Kennzeichnung</w:t>
            </w:r>
          </w:p>
        </w:tc>
        <w:tc>
          <w:tcPr>
            <w:tcW w:type="dxa" w:w="419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ChemV, VUV, Sicherheitsdatenblätter</w:t>
            </w:r>
          </w:p>
        </w:tc>
      </w:tr>
      <w:tr>
        <w:trPr>
          <w:cantSplit w:val="true"/>
          <w:trHeight w:val="283" w:hRule="atLeast"/>
        </w:trPr>
        <w:tc>
          <w:tcPr>
            <w:tcW w:type="dxa" w:w="266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6"/>
              </w:rPr>
              <w:t>Lastenhandhabung</w:t>
            </w:r>
          </w:p>
        </w:tc>
        <w:tc>
          <w:tcPr>
            <w:tcW w:type="dxa" w:w="374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LasthandhabV, DGUV-Information zum Gastgewerbe</w:t>
            </w:r>
          </w:p>
        </w:tc>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 64 ASchG (manuelle Lastenhandhabung), ergonomische Handlungshilfen</w:t>
            </w:r>
          </w:p>
        </w:tc>
        <w:tc>
          <w:tcPr>
            <w:tcW w:type="dxa" w:w="419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VUV, Wegleitung zur Lastenhandhabung</w:t>
            </w:r>
          </w:p>
        </w:tc>
      </w:tr>
      <w:tr>
        <w:trPr>
          <w:cantSplit w:val="true"/>
          <w:trHeight w:val="283" w:hRule="atLeast"/>
        </w:trPr>
        <w:tc>
          <w:tcPr>
            <w:tcW w:type="dxa" w:w="266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6"/>
              </w:rPr>
              <w:t>Arbeitsmittel und Maschinen</w:t>
            </w:r>
          </w:p>
        </w:tc>
        <w:tc>
          <w:tcPr>
            <w:tcW w:type="dxa" w:w="374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BetrSichV, Prüffristen aus der Gefährdungsbeurteilung</w:t>
            </w:r>
          </w:p>
        </w:tc>
        <w:tc>
          <w:tcPr>
            <w:tcW w:type="dxa" w:w="39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AM-VO: Arbeitsmittelverordnung</w:t>
            </w:r>
          </w:p>
        </w:tc>
        <w:tc>
          <w:tcPr>
            <w:tcW w:type="dxa" w:w="419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VUV, Herstellerangaben, Branchenlösung</w:t>
            </w:r>
          </w:p>
        </w:tc>
      </w:tr>
      <w:tr>
        <w:trPr>
          <w:cantSplit w:val="true"/>
          <w:trHeight w:val="283" w:hRule="atLeast"/>
        </w:trPr>
        <w:tc>
          <w:tcPr>
            <w:tcW w:type="dxa" w:w="266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6"/>
              </w:rPr>
              <w:t>Arbeitsstätte, Verkehrswege, Böden</w:t>
            </w:r>
          </w:p>
        </w:tc>
        <w:tc>
          <w:tcPr>
            <w:tcW w:type="dxa" w:w="374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ArbStättV, ASR A1.5</w:t>
            </w:r>
          </w:p>
        </w:tc>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AStV: Arbeitsstättenverordnung</w:t>
            </w:r>
          </w:p>
        </w:tc>
        <w:tc>
          <w:tcPr>
            <w:tcW w:type="dxa" w:w="419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ArGV 3, ArGV 4</w:t>
            </w:r>
          </w:p>
        </w:tc>
      </w:tr>
      <w:tr>
        <w:trPr>
          <w:cantSplit w:val="true"/>
          <w:trHeight w:val="283" w:hRule="atLeast"/>
        </w:trPr>
        <w:tc>
          <w:tcPr>
            <w:tcW w:type="dxa" w:w="266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6"/>
              </w:rPr>
              <w:t>Brandschutz im Beherbergungsbetrieb</w:t>
            </w:r>
          </w:p>
        </w:tc>
        <w:tc>
          <w:tcPr>
            <w:tcW w:type="dxa" w:w="374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Landesbauordnung, Beherbergungsstättenverordnung</w:t>
            </w:r>
          </w:p>
        </w:tc>
        <w:tc>
          <w:tcPr>
            <w:tcW w:type="dxa" w:w="39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OIB-Richtlinie 2, Landesbauordnungen</w:t>
            </w:r>
          </w:p>
        </w:tc>
        <w:tc>
          <w:tcPr>
            <w:tcW w:type="dxa" w:w="419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VKF-Brandschutzvorschriften</w:t>
            </w:r>
          </w:p>
        </w:tc>
      </w:tr>
      <w:tr>
        <w:trPr>
          <w:cantSplit w:val="true"/>
          <w:trHeight w:val="283" w:hRule="atLeast"/>
        </w:trPr>
        <w:tc>
          <w:tcPr>
            <w:tcW w:type="dxa" w:w="266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6"/>
              </w:rPr>
              <w:t>Nacht- und Schichtarbeit</w:t>
            </w:r>
          </w:p>
        </w:tc>
        <w:tc>
          <w:tcPr>
            <w:tcW w:type="dxa" w:w="374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ArbZG, arbeitsmedizinische Vorsorge</w:t>
            </w:r>
          </w:p>
        </w:tc>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ASchG, AZG, NSchG</w:t>
            </w:r>
          </w:p>
        </w:tc>
        <w:tc>
          <w:tcPr>
            <w:tcW w:type="dxa" w:w="419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ArG, ArGV 1; für Gastbetriebe Art. 23 ArGV 2 (erfasste Tätigkeiten von der Bewilligung für Nacht- und Sonntagsarbeit befreit, Art. 4 ArGV 2), übrige Schutzbestimmungen bleiben</w:t>
            </w:r>
          </w:p>
        </w:tc>
      </w:tr>
    </w:tbl>
    <w:p>
      <w:pPr>
        <w:keepNext/>
        <w:spacing w:before="160" w:after="60"/>
      </w:pPr>
      <w:r>
        <w:rPr>
          <w:rFonts w:ascii="Aptos" w:hAnsi="Aptos" w:cs="Aptos" w:eastAsia="Aptos"/>
          <w:b/>
          <w:color w:val="8C5A2B"/>
          <w:sz w:val="23"/>
        </w:rPr>
        <w:t>Was diese Vorlage nicht ist</w:t>
      </w:r>
    </w:p>
    <w:p>
      <w:pPr>
        <w:jc w:val="both"/>
      </w:pPr>
      <w:r>
        <w:rPr>
          <w:rFonts w:ascii="Aptos" w:hAnsi="Aptos" w:cs="Aptos" w:eastAsia="Aptos"/>
          <w:b w:val="0"/>
          <w:i w:val="0"/>
          <w:sz w:val="19"/>
        </w:rPr>
        <w:t>Keine Universalcheckliste und kein Ersatz für die Gefährdungsbeurteilung: Karte und Leitfaden halten fest, wie Sie einen Prozess beschreiben und prüfen; welche Gefährdungen und Maßnahmen im konkreten Haus gelten, ergibt die Beurteilung des Einzelfalls. Die Vorlage ersetzt weder Norm noch Rechtsberatung, weder Audit noch Gefährdungsbeurteilung des konkreten Falls noch das Urteil der Zertifizierungsstelle; verbindlich ist die jeweils gültige Fassung von Gesetz und Norm. Maßgeblich ist heute die ISO 45001:2018 (EN ISO 45001:2023, Amd 1:2024); der Entwurf ISO/DIS 45001 (Veröffentlichung für 2027 erwartet) bindet nicht. Eine ISO 45001:2026 existiert nicht.</w:t>
      </w:r>
    </w:p>
    <w:sectPr w:rsidR="00FC693F" w:rsidRPr="0006063C" w:rsidSect="00034616">
      <w:footerReference w:type="default" r:id="rId9"/>
      <w:pgSz w:w="16838" w:h="11906"/>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s="Aptos" w:eastAsia="Aptos"/>
        <w:color w:val="7A6A55"/>
        <w:sz w:val="16"/>
      </w:rPr>
      <w:t xml:space="preserve">Das Steuer und die Lupe · Band 3b · ISO 45001 · buecher.effedore.com  ·  Seite </w:t>
    </w:r>
    <w:r>
      <w:rPr>
        <w:rFonts w:ascii="Aptos" w:hAnsi="Aptos" w:cs="Aptos" w:eastAsia="Aptos"/>
        <w:color w:val="7A6A55"/>
        <w:sz w:val="16"/>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eastAsia="Aptos"/>
      <w:color w:val="2B2B2B"/>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