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3.6 DES BANDES 3B</w:t>
      </w:r>
    </w:p>
    <w:p>
      <w:pPr>
        <w:spacing w:after="60"/>
        <w:pBdr>
          <w:bottom w:val="single" w:sz="8" w:space="4" w:color="C9BBA6"/>
        </w:pBdr>
      </w:pPr>
      <w:r>
        <w:rPr>
          <w:rFonts w:ascii="Aptos" w:hAnsi="Aptos" w:cs="Aptos" w:eastAsia="Aptos"/>
          <w:b/>
          <w:color w:val="8C5A2B"/>
          <w:sz w:val="42"/>
        </w:rPr>
        <w:t>Prüfraster zur Gefährdungsbeurteilung</w:t>
      </w:r>
    </w:p>
    <w:p>
      <w:pPr>
        <w:spacing w:before="80" w:after="200"/>
      </w:pPr>
      <w:r>
        <w:rPr>
          <w:rFonts w:ascii="Aptos" w:hAnsi="Aptos" w:cs="Aptos" w:eastAsia="Aptos"/>
          <w:i/>
          <w:color w:val="7A6A55"/>
          <w:sz w:val="21"/>
        </w:rPr>
        <w:t>Rückwärts lesen: vom Betrieb in das Dokument – das Raster der Faktoren prüft die Vollständigkeit, nicht das Urteil im Einzelfall</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3.6; Norm: Klauseln 6.1.2.1, 6.1.2.2, 6.1.3, 6.1.4 und 8.1.2 der ISO 45001:2018.</w:t>
      </w:r>
    </w:p>
    <w:tbl>
      <w:tblPr>
        <w:tblW w:type="auto" w:w="0"/>
        <w:jc w:val="center"/>
        <w:tblLook w:firstColumn="1" w:firstRow="1" w:lastColumn="0" w:lastRow="0" w:noHBand="0" w:noVBand="1" w:val="04A0"/>
      </w:tblPr>
      <w:tblGrid>
        <w:gridCol w:w="14798"/>
      </w:tblGrid>
      <w:tr>
        <w:tc>
          <w:tcPr>
            <w:tcW w:type="dxa" w:w="1479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val="0"/>
                <w:i w:val="0"/>
                <w:sz w:val="19"/>
              </w:rPr>
              <w:t>Gehen Sie zuerst in den Bereich, dann ins Dokument: Beobachten Sie drei bis fünf Vorgänge, notieren Sie die Gefährdungen, die Sie sehen, und suchen Sie sie erst danach in der Beurteilung (Teil 1). Das Fehlende ist der Befund.</w:t>
            </w:r>
          </w:p>
          <w:p>
            <w:pPr>
              <w:spacing w:after="40"/>
              <w:ind w:left="340" w:hanging="340"/>
            </w:pPr>
            <w:r>
              <w:rPr>
                <w:rFonts w:ascii="Aptos" w:hAnsi="Aptos" w:cs="Aptos" w:eastAsia="Aptos"/>
                <w:b/>
                <w:i w:val="0"/>
                <w:color w:val="8C5A2B"/>
                <w:sz w:val="19"/>
              </w:rPr>
              <w:t xml:space="preserve">2.  </w:t>
            </w:r>
            <w:r>
              <w:rPr>
                <w:rFonts w:ascii="Aptos" w:hAnsi="Aptos" w:cs="Aptos" w:eastAsia="Aptos"/>
                <w:b w:val="0"/>
                <w:i w:val="0"/>
                <w:sz w:val="19"/>
              </w:rPr>
              <w:t>Das Raster der Faktoren und die zehn Fragen (Teile 2 bis 4) sind eine Gedächtnisstütze für den Blick, kein Ablagestück: Sie prüfen, ob etwas fehlt, nicht, ob eine Bewertung inhaltlich richtig ist.</w:t>
            </w:r>
          </w:p>
          <w:p>
            <w:pPr>
              <w:spacing w:after="40"/>
              <w:ind w:left="340" w:hanging="340"/>
            </w:pPr>
            <w:r>
              <w:rPr>
                <w:rFonts w:ascii="Aptos" w:hAnsi="Aptos" w:cs="Aptos" w:eastAsia="Aptos"/>
                <w:b/>
                <w:i w:val="0"/>
                <w:color w:val="8C5A2B"/>
                <w:sz w:val="19"/>
              </w:rPr>
              <w:t xml:space="preserve">3.  </w:t>
            </w:r>
            <w:r>
              <w:rPr>
                <w:rFonts w:ascii="Aptos" w:hAnsi="Aptos" w:cs="Aptos" w:eastAsia="Aptos"/>
                <w:b w:val="0"/>
                <w:i w:val="0"/>
                <w:sz w:val="19"/>
              </w:rPr>
              <w:t>Entscheiden Sie in jeder Zeile am Ende: gelebt (im Betrieb zu finden) oder nur geschrieben. Eine Maßnahme gilt erst als umgesetzt, wenn sie außerhalb der Gefährdungsbeurteilung auffindbar ist.</w:t>
            </w:r>
          </w:p>
        </w:tc>
      </w:tr>
    </w:tbl>
    <w:p>
      <w:pPr>
        <w:spacing w:after="0"/>
      </w:pPr>
    </w:p>
    <w:tbl>
      <w:tblPr>
        <w:tblLook w:firstColumn="1" w:firstRow="1" w:lastColumn="0" w:lastRow="0" w:noHBand="0" w:noVBand="1" w:val="04A0"/>
        <w:tblW w:w="14628" w:type="dxa"/>
        <w:tblLayout w:type="fixed"/>
      </w:tblPr>
      <w:tblGrid>
        <w:gridCol w:w="1927"/>
        <w:gridCol w:w="2948"/>
        <w:gridCol w:w="1927"/>
        <w:gridCol w:w="2948"/>
        <w:gridCol w:w="1927"/>
        <w:gridCol w:w="2948"/>
      </w:tblGrid>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Bereich</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Dokument (Titel, Fassung)</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Auditor/in</w:t>
            </w:r>
          </w:p>
        </w:tc>
        <w:tc>
          <w:tcPr>
            <w:tcW w:type="dxa" w:w="2948"/>
            <w:tcBorders>
              <w:bottom w:val="single" w:sz="6" w:space="0" w:color="C9BBA6"/>
            </w:tcBorders>
          </w:tcPr>
          <w:p>
            <w:pPr>
              <w:spacing w:after="20"/>
            </w:pPr>
          </w:p>
        </w:tc>
      </w:tr>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Bereichsleitung (Eigentümer/in)</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Letzte inhaltliche Änderung (nicht das Datum)</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Datum der Prüfung</w:t>
            </w:r>
          </w:p>
        </w:tc>
        <w:tc>
          <w:tcPr>
            <w:tcW w:type="dxa" w:w="2948"/>
            <w:tcBorders>
              <w:bottom w:val="single" w:sz="6" w:space="0" w:color="C9BBA6"/>
            </w:tcBorders>
          </w:tcPr>
          <w:p>
            <w:pPr>
              <w:spacing w:after="20"/>
            </w:pPr>
          </w:p>
        </w:tc>
      </w:tr>
    </w:tbl>
    <w:p>
      <w:pPr>
        <w:spacing w:after="0"/>
      </w:pPr>
    </w:p>
    <w:p>
      <w:pPr>
        <w:keepNext/>
        <w:pageBreakBefore w:val="0"/>
        <w:spacing w:before="280" w:after="80"/>
        <w:pBdr>
          <w:bottom w:val="single" w:sz="6" w:space="2" w:color="C9BBA6"/>
        </w:pBdr>
      </w:pPr>
      <w:r>
        <w:rPr>
          <w:rFonts w:ascii="Aptos" w:hAnsi="Aptos" w:cs="Aptos" w:eastAsia="Aptos"/>
          <w:b/>
          <w:color w:val="8C5A2B"/>
          <w:sz w:val="28"/>
        </w:rPr>
        <w:t>1   Der Rückwärtstest: Vom Betrieb in das Dokument</w:t>
      </w:r>
    </w:p>
    <w:p>
      <w:pPr>
        <w:spacing w:after="80"/>
        <w:jc w:val="both"/>
      </w:pPr>
      <w:r>
        <w:rPr>
          <w:rFonts w:ascii="Aptos" w:hAnsi="Aptos" w:cs="Aptos" w:eastAsia="Aptos"/>
          <w:b w:val="0"/>
          <w:i w:val="0"/>
          <w:sz w:val="19"/>
        </w:rPr>
        <w:t>Drei bis fünf konkrete Vorgänge im Bereich beobachten, die Gefährdungen notieren, danach im Dokument suchen. Das dauert etwa zwanzig Minuten und liefert in fast jedem Bereich beim ersten Mal mindestens einen Treffer – jede Beurteilung läuft mit dem Betrieb auseinander, sobald sie geschrieben ist.</w:t>
      </w:r>
    </w:p>
    <w:tbl>
      <w:tblPr>
        <w:jc w:val="center"/>
        <w:tblLook w:firstColumn="1" w:firstRow="1" w:lastColumn="0" w:lastRow="0" w:noHBand="0" w:noVBand="1" w:val="04A0"/>
        <w:tblW w:w="14798" w:type="dxa"/>
        <w:tblLayout w:type="fixed"/>
      </w:tblPr>
      <w:tblGrid>
        <w:gridCol w:w="567"/>
        <w:gridCol w:w="4309"/>
        <w:gridCol w:w="3742"/>
        <w:gridCol w:w="2268"/>
        <w:gridCol w:w="3912"/>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430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Beobachteter Vorgang (was, womit, wann, durch wen)</w:t>
            </w:r>
          </w:p>
        </w:tc>
        <w:tc>
          <w:tcPr>
            <w:tcW w:type="dxa" w:w="374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Gefährdung, die ich dabei sehe</w:t>
            </w:r>
          </w:p>
        </w:tc>
        <w:tc>
          <w:tcPr>
            <w:tcW w:type="dxa" w:w="226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Steht im Dokument?</w:t>
            </w:r>
          </w:p>
        </w:tc>
        <w:tc>
          <w:tcPr>
            <w:tcW w:type="dxa" w:w="391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 (was fehlt, was weicht ab)</w:t>
            </w:r>
          </w:p>
        </w:tc>
      </w:tr>
      <w:tr>
        <w:trPr>
          <w:cantSplit w:val="true"/>
          <w:trHeight w:val="538"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1</w:t>
            </w:r>
          </w:p>
        </w:tc>
        <w:tc>
          <w:tcPr>
            <w:tcW w:type="dxa" w:w="430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74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 ja, Seite:</w:t>
            </w:r>
          </w:p>
          <w:p>
            <w:pPr>
              <w:spacing w:after="20" w:line="252" w:lineRule="auto"/>
            </w:pPr>
            <w:r>
              <w:rPr>
                <w:rFonts w:ascii="Aptos" w:hAnsi="Aptos" w:cs="Aptos" w:eastAsia="Aptos"/>
                <w:b w:val="0"/>
                <w:i w:val="0"/>
                <w:sz w:val="17"/>
              </w:rPr>
              <w:t>☐ nein</w:t>
            </w:r>
          </w:p>
        </w:tc>
        <w:tc>
          <w:tcPr>
            <w:tcW w:type="dxa" w:w="391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2</w:t>
            </w:r>
          </w:p>
        </w:tc>
        <w:tc>
          <w:tcPr>
            <w:tcW w:type="dxa" w:w="430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74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 ja, Seite:</w:t>
            </w:r>
          </w:p>
          <w:p>
            <w:pPr>
              <w:spacing w:after="20" w:line="252" w:lineRule="auto"/>
            </w:pPr>
            <w:r>
              <w:rPr>
                <w:rFonts w:ascii="Aptos" w:hAnsi="Aptos" w:cs="Aptos" w:eastAsia="Aptos"/>
                <w:b w:val="0"/>
                <w:i w:val="0"/>
                <w:sz w:val="17"/>
              </w:rPr>
              <w:t>☐ nein</w:t>
            </w:r>
          </w:p>
        </w:tc>
        <w:tc>
          <w:tcPr>
            <w:tcW w:type="dxa" w:w="391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3</w:t>
            </w:r>
          </w:p>
        </w:tc>
        <w:tc>
          <w:tcPr>
            <w:tcW w:type="dxa" w:w="430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74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r>
              <w:rPr>
                <w:rFonts w:ascii="Aptos" w:hAnsi="Aptos" w:cs="Aptos" w:eastAsia="Aptos"/>
                <w:b w:val="0"/>
                <w:i w:val="0"/>
                <w:sz w:val="17"/>
              </w:rPr>
              <w:t>☐ ja, Seite:</w:t>
            </w:r>
          </w:p>
          <w:p>
            <w:pPr>
              <w:spacing w:after="20" w:line="252" w:lineRule="auto"/>
            </w:pPr>
            <w:r>
              <w:rPr>
                <w:rFonts w:ascii="Aptos" w:hAnsi="Aptos" w:cs="Aptos" w:eastAsia="Aptos"/>
                <w:b w:val="0"/>
                <w:i w:val="0"/>
                <w:sz w:val="17"/>
              </w:rPr>
              <w:t>☐ nein</w:t>
            </w:r>
          </w:p>
        </w:tc>
        <w:tc>
          <w:tcPr>
            <w:tcW w:type="dxa" w:w="391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Kennt die Bereichsleitung das Dokument und kann es in Grundzügen ohne Nachschlagen wiedergeben?   ☐ ja   ☐ nur dem Namen nach   ☐ nein        Fassungen früherer Überprüfungen wortgleich (nur das Datum geändert)?   ☐ ja   ☐ nein</w:t>
      </w:r>
    </w:p>
    <w:p>
      <w:pPr>
        <w:keepNext/>
        <w:pageBreakBefore w:val="0"/>
        <w:spacing w:before="280" w:after="80"/>
        <w:pBdr>
          <w:bottom w:val="single" w:sz="6" w:space="2" w:color="C9BBA6"/>
        </w:pBdr>
      </w:pPr>
      <w:r>
        <w:rPr>
          <w:rFonts w:ascii="Aptos" w:hAnsi="Aptos" w:cs="Aptos" w:eastAsia="Aptos"/>
          <w:b/>
          <w:color w:val="8C5A2B"/>
          <w:sz w:val="28"/>
        </w:rPr>
        <w:t>2   Raster der Gefährdungsfaktoren im Hotel (Vollständigkeit)</w:t>
      </w:r>
    </w:p>
    <w:p>
      <w:pPr>
        <w:spacing w:after="80"/>
        <w:jc w:val="both"/>
      </w:pPr>
      <w:r>
        <w:rPr>
          <w:rFonts w:ascii="Aptos" w:hAnsi="Aptos" w:cs="Aptos" w:eastAsia="Aptos"/>
          <w:b w:val="0"/>
          <w:i w:val="0"/>
          <w:sz w:val="19"/>
        </w:rPr>
        <w:t>Das Raster ist in allen drei Ländern im Wesentlichen dasselbe. Die grau unterlegten Spalten geben das Buch wieder; die weißen füllen Sie aus.</w:t>
      </w:r>
    </w:p>
    <w:tbl>
      <w:tblPr>
        <w:jc w:val="center"/>
        <w:tblLook w:firstColumn="1" w:firstRow="1" w:lastColumn="0" w:lastRow="0" w:noHBand="0" w:noVBand="1" w:val="04A0"/>
        <w:tblW w:w="14798" w:type="dxa"/>
        <w:tblLayout w:type="fixed"/>
      </w:tblPr>
      <w:tblGrid>
        <w:gridCol w:w="1530"/>
        <w:gridCol w:w="2835"/>
        <w:gridCol w:w="2835"/>
        <w:gridCol w:w="1417"/>
        <w:gridCol w:w="2211"/>
        <w:gridCol w:w="2381"/>
        <w:gridCol w:w="1587"/>
      </w:tblGrid>
      <w:tr>
        <w:trPr>
          <w:tblHeader w:val="true"/>
        </w:trPr>
        <w:tc>
          <w:tcPr>
            <w:tcW w:type="dxa" w:w="153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Faktor</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Beispiel im Hotel (Buch)</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Typische Lücke im Dokument (Buch)</w:t>
            </w:r>
          </w:p>
        </w:tc>
        <w:tc>
          <w:tcPr>
            <w:tcW w:type="dxa" w:w="141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Dokument erfasst?</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 (Seite, Beobachtung, Etikett, Sicherheitsdatenblatt)</w:t>
            </w:r>
          </w:p>
        </w:tc>
        <w:tc>
          <w:tcPr>
            <w:tcW w:type="dxa" w:w="15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gelebt oder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Mechanisch</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Schneidwerkzeug, Mangel, Schleuder, Aufzug, Türen</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Maschinen, die am Erstellungstag nicht liefen</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Elektrisch</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Ortsveränderliche Geräte, Technikräume, Arbeiten unter Spannung</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Provisorien und Verlängerungen im Dauerbetrieb</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Gefahrstoffe</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Reinigungs- und Desinfektionsmittel, Chlor im Bad, Gase in der Küche</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Umfüllung in unbeschriftete Behälter; gewechselte Produkte</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Biologisch</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Wäsche, Abfall, Legionellen im Warmwasser, Sanitärreinigung</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Wird häufig ganz vergessen</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Physikalisch</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Hitze in Küche und Wäscherei, Lärm, Zugluft, Nässe</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Klimabelastung der Wäscherei</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Muskel-Skelett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Betten, Wäschesäcke, Etagenwagen, Bankettmobiliar, Stehen</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Repetitive Belastung der Etage – die häufigste Ursache langer Ausfälle</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38" w:hRule="atLeast"/>
        </w:trPr>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Psychisch und psychosozial</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Zeitdruck, Nachtarbeit, Alleinarbeit, Gästekonflikte, Belästigung</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Fehlt ganz oder besteht aus einem Satz – die größte Lücke im Gastgewerbe</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bl>
    <w:p>
      <w:r>
        <w:rPr>
          <w:rFonts w:ascii="Aptos" w:hAnsi="Aptos" w:cs="Aptos" w:eastAsia="Aptos"/>
          <w:b w:val="0"/>
          <w:i/>
          <w:color w:val="7A6A55"/>
          <w:sz w:val="17"/>
        </w:rPr>
        <w:t>Gefahrstoffe: Etiketten und Sicherheitsdatenblätter der tatsächlich verwendeten Mittel gegen das Dokument halten (Frage 3 in Teil 4).</w:t>
      </w:r>
    </w:p>
    <w:p>
      <w:pPr>
        <w:keepNext/>
        <w:pageBreakBefore w:val="0"/>
        <w:spacing w:before="280" w:after="80"/>
        <w:pBdr>
          <w:bottom w:val="single" w:sz="6" w:space="2" w:color="C9BBA6"/>
        </w:pBdr>
      </w:pPr>
      <w:r>
        <w:rPr>
          <w:rFonts w:ascii="Aptos" w:hAnsi="Aptos" w:cs="Aptos" w:eastAsia="Aptos"/>
          <w:b/>
          <w:color w:val="8C5A2B"/>
          <w:sz w:val="28"/>
        </w:rPr>
        <w:t>3   Was die Klausel 6.1.2.1 darüber hinaus zu berücksichtigen verlangt</w:t>
      </w:r>
    </w:p>
    <w:p>
      <w:pPr>
        <w:spacing w:after="80"/>
        <w:jc w:val="both"/>
      </w:pPr>
      <w:r>
        <w:rPr>
          <w:rFonts w:ascii="Aptos" w:hAnsi="Aptos" w:cs="Aptos" w:eastAsia="Aptos"/>
          <w:b w:val="0"/>
          <w:i w:val="0"/>
          <w:sz w:val="19"/>
        </w:rPr>
        <w:t>Die Aufzählung der Klausel geht weit über das hinaus, was in den meisten Beurteilungen steht. Für ein Hotel ist sie beinahe eine Prüfliste für sich.</w:t>
      </w:r>
    </w:p>
    <w:tbl>
      <w:tblPr>
        <w:jc w:val="center"/>
        <w:tblLook w:firstColumn="1" w:firstRow="1" w:lastColumn="0" w:lastRow="0" w:noHBand="0" w:noVBand="1" w:val="04A0"/>
        <w:tblW w:w="14798" w:type="dxa"/>
        <w:tblLayout w:type="fixed"/>
      </w:tblPr>
      <w:tblGrid>
        <w:gridCol w:w="3969"/>
        <w:gridCol w:w="3912"/>
        <w:gridCol w:w="1417"/>
        <w:gridCol w:w="2041"/>
        <w:gridCol w:w="1927"/>
        <w:gridCol w:w="1530"/>
      </w:tblGrid>
      <w:tr>
        <w:trPr>
          <w:tblHeader w:val="true"/>
        </w:trPr>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Gegenstand</w:t>
            </w:r>
          </w:p>
        </w:tc>
        <w:tc>
          <w:tcPr>
            <w:tcW w:type="dxa" w:w="391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Prüfhilfe laut Buch</w:t>
            </w:r>
          </w:p>
        </w:tc>
        <w:tc>
          <w:tcPr>
            <w:tcW w:type="dxa" w:w="141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Dokument?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c>
          <w:tcPr>
            <w:tcW w:type="dxa" w:w="19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w:t>
            </w:r>
          </w:p>
        </w:tc>
        <w:tc>
          <w:tcPr>
            <w:tcW w:type="dxa" w:w="153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gelebt oder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Arbeitsorganisation; soziale Faktoren einschließlich Arbeitsbelastung, Arbeitszeiten, Schikane und Belästigung</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Arbeitszeiten, Belastung und Belästigung sind im Gastgewerbe keine Randthemen – sie stehen in kaum einer Beurteilung dieser Branche</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Führung und Kultur der Organisation</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Von der Klausel ausdrücklich genannt</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Routinemäßige und nicht routinemäßige Tätigkeiten</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Nicht routinemäßige Tätigkeiten finden Sie nur durch die Frage an die Ausführenden (siehe unten)</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Notfallsituationen</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Von der Klausel ausdrücklich genannt</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Personen, die keine Beschäftigten sind, sich aber am Arbeitsplatz befinden – im Hotel also die Gäste</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Gäste sind nicht „unerheblich": Die Klausel nennt diese Personen ausdrücklich</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Änderungen an Prozessen, Mitteln und Personal</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Geräte, Stoffe, Personalstärke und Abläufe der letzten drei Jahre abgleichen</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Psychische Belastung: Umfang und Methode</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Anonym erheben, zurückmelden, Maßnahmen umsetzen – alle drei Schritte oder keinen. Ein Satz im Dokument genügt nicht</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Gesonderte Beurteilung für Jugendliche und Schwangere</w:t>
            </w:r>
          </w:p>
        </w:tc>
        <w:tc>
          <w:tcPr>
            <w:tcW w:type="dxa" w:w="391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Personalstruktur abgleichen: Auszubildende unter achtzehn und schwangere Beschäftigte kommen im Gastgewerbe regelmäßig vor</w:t>
            </w:r>
          </w:p>
        </w:tc>
        <w:tc>
          <w:tcPr>
            <w:tcW w:type="dxa" w:w="141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w:t>
            </w:r>
          </w:p>
          <w:p>
            <w:pPr>
              <w:spacing w:after="20" w:line="252" w:lineRule="auto"/>
            </w:pPr>
            <w:r>
              <w:rPr>
                <w:rFonts w:ascii="Aptos" w:hAnsi="Aptos" w:cs="Aptos" w:eastAsia="Aptos"/>
                <w:b w:val="0"/>
                <w:i w:val="0"/>
                <w:sz w:val="17"/>
              </w:rPr>
              <w:t>☐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bl>
    <w:p>
      <w:pPr>
        <w:spacing w:after="60"/>
      </w:pPr>
    </w:p>
    <w:p>
      <w:pPr>
        <w:spacing w:after="60"/>
        <w:jc w:val="both"/>
      </w:pPr>
      <w:r>
        <w:rPr>
          <w:rFonts w:ascii="Aptos" w:hAnsi="Aptos" w:cs="Aptos" w:eastAsia="Aptos"/>
          <w:b w:val="0"/>
          <w:i w:val="0"/>
          <w:sz w:val="18"/>
        </w:rPr>
        <w:t>Nicht routinemäßige Tätigkeiten finden Sie nicht durch Beobachtung, sondern durch die Frage an die Ausführenden: „Was machen Sie hier, das nicht jeden Tag vorkommt?" Die Antworten füllen regelmäßig eine halbe Seite. Die immer gleichen Fälle laut Buch (Beispiele): Grundreinigung der Küche in der Nebensaison; Auswechseln einer Leuchte in der Halle; Entstörung der Aufzugsanlage vor dem Eintreffen des Technikers; Räumen des Schnees vor dem Eingang; Umstellen des Ballsaals über Nacht; Beseitigung eines Wasserschadens am Wochenende. Jede vereint Improvisation, Zeitdruck und oft Alleinarbeit.</w:t>
      </w:r>
    </w:p>
    <w:tbl>
      <w:tblPr>
        <w:jc w:val="center"/>
        <w:tblLook w:firstColumn="1" w:firstRow="1" w:lastColumn="0" w:lastRow="0" w:noHBand="0" w:noVBand="1" w:val="04A0"/>
        <w:tblW w:w="14798" w:type="dxa"/>
        <w:tblLayout w:type="fixed"/>
      </w:tblPr>
      <w:tblGrid>
        <w:gridCol w:w="5670"/>
        <w:gridCol w:w="2041"/>
        <w:gridCol w:w="7087"/>
      </w:tblGrid>
      <w:tr>
        <w:trPr>
          <w:tblHeader w:val="true"/>
        </w:trPr>
        <w:tc>
          <w:tcPr>
            <w:tcW w:type="dxa" w:w="56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Von den Ausführenden genannte nicht routinemäßige Tätigkeit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Dokument?</w:t>
            </w:r>
          </w:p>
        </w:tc>
        <w:tc>
          <w:tcPr>
            <w:tcW w:type="dxa" w:w="70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 / Beleg</w:t>
            </w:r>
          </w:p>
        </w:tc>
      </w:tr>
      <w:tr>
        <w:trPr>
          <w:cantSplit w:val="true"/>
          <w:trHeight w:val="340"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70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70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70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4   Die zehn Fragen an das Dokument (etwa vierzig Minuten je Bereich)</w:t>
      </w:r>
    </w:p>
    <w:p>
      <w:pPr>
        <w:spacing w:after="80"/>
        <w:jc w:val="both"/>
      </w:pPr>
      <w:r>
        <w:rPr>
          <w:rFonts w:ascii="Aptos" w:hAnsi="Aptos" w:cs="Aptos" w:eastAsia="Aptos"/>
          <w:b w:val="0"/>
          <w:i w:val="0"/>
          <w:sz w:val="19"/>
        </w:rPr>
        <w:t>Der Katalog funktioniert für jede Gefährdungsbeurteilung eines Bereichs. Die fünfte Frage ist erfahrungsgemäß die ergiebigste: Sie deckt häufig auf, dass die genannte Beteiligung auf eine Unterschrift unter einem fertigen Text reduziert war.</w:t>
      </w:r>
    </w:p>
    <w:tbl>
      <w:tblPr>
        <w:jc w:val="center"/>
        <w:tblLook w:firstColumn="1" w:firstRow="1" w:lastColumn="0" w:lastRow="0" w:noHBand="0" w:noVBand="1" w:val="04A0"/>
        <w:tblW w:w="14798" w:type="dxa"/>
        <w:tblLayout w:type="fixed"/>
      </w:tblPr>
      <w:tblGrid>
        <w:gridCol w:w="567"/>
        <w:gridCol w:w="4876"/>
        <w:gridCol w:w="2835"/>
        <w:gridCol w:w="3005"/>
        <w:gridCol w:w="1984"/>
        <w:gridCol w:w="1530"/>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487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Frage an das Dokument</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Womit sie beantwortet wird (Buch)</w:t>
            </w:r>
          </w:p>
        </w:tc>
        <w:tc>
          <w:tcPr>
            <w:tcW w:type="dxa" w:w="300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c>
          <w:tcPr>
            <w:tcW w:type="dxa" w:w="198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w:t>
            </w:r>
          </w:p>
        </w:tc>
        <w:tc>
          <w:tcPr>
            <w:tcW w:type="dxa" w:w="153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gelebt oder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drei Vorgänge habe ich vorhin gesehen – stehen sie darin?</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eigenen Beobachtungen (Teil 1)</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Geräte stehen im Bereich, und welche stehen im Dokument?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Abgleich vor Ort</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Mittel werden verwendet, und welche sind aufgeführt?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Etiketten und Sicherheitsdatenblätter</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Wann wurde der Text zuletzt inhaltlich geändert – nicht das Datum?</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Versionsvergleich</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Wer hat mitgewirkt, und kann er sich daran erinnern?</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Frage an die Ausführenden</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6</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 welchen Kriterien wurde bewertet?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Zwei Bewertungen vergleichen</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7</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Steht bei jeder Maßnahme, warum sie diese Stufe ist?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Rangfolge nach 8.1.2</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8</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Ist psychische Belastung erfasst, und wie?</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Umfang und Methode prüfen</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9</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Gibt es gesonderte Beurteilungen für Jugendliche und Schwangere?</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Personalstruktur abgleichen</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w:t>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 sind die Maßnahmen umgesetzt – und wer hat das geprüft?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Nachverfolgung im Betrieb</w:t>
            </w:r>
          </w:p>
        </w:tc>
        <w:tc>
          <w:tcPr>
            <w:tcW w:type="dxa" w:w="300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bl>
    <w:p>
      <w:pPr>
        <w:keepNext/>
        <w:pageBreakBefore w:val="0"/>
        <w:spacing w:before="280" w:after="80"/>
        <w:pBdr>
          <w:bottom w:val="single" w:sz="6" w:space="2" w:color="C9BBA6"/>
        </w:pBdr>
      </w:pPr>
      <w:r>
        <w:rPr>
          <w:rFonts w:ascii="Aptos" w:hAnsi="Aptos" w:cs="Aptos" w:eastAsia="Aptos"/>
          <w:b/>
          <w:color w:val="8C5A2B"/>
          <w:sz w:val="28"/>
        </w:rPr>
        <w:t>5   Die Bewertung: woran man erkennt, dass sie am Schreibtisch entstand</w:t>
      </w:r>
    </w:p>
    <w:p>
      <w:pPr>
        <w:spacing w:after="80"/>
        <w:jc w:val="both"/>
      </w:pPr>
      <w:r>
        <w:rPr>
          <w:rFonts w:ascii="Aptos" w:hAnsi="Aptos" w:cs="Aptos" w:eastAsia="Aptos"/>
          <w:b w:val="0"/>
          <w:i w:val="0"/>
          <w:sz w:val="19"/>
        </w:rPr>
        <w:t>Der Auditor kann die Bewertung nicht auf Richtigkeit prüfen – wohl aber auf Nachvollziehbarkeit, und das genügt (Klausel 6.1.2.2: Methodik und Kriterien sind festzulegen).</w:t>
      </w:r>
    </w:p>
    <w:tbl>
      <w:tblPr>
        <w:jc w:val="center"/>
        <w:tblLook w:firstColumn="1" w:firstRow="1" w:lastColumn="0" w:lastRow="0" w:noHBand="0" w:noVBand="1" w:val="04A0"/>
        <w:tblW w:w="14798" w:type="dxa"/>
        <w:tblLayout w:type="fixed"/>
      </w:tblPr>
      <w:tblGrid>
        <w:gridCol w:w="3515"/>
        <w:gridCol w:w="3175"/>
        <w:gridCol w:w="3175"/>
        <w:gridCol w:w="1644"/>
        <w:gridCol w:w="3288"/>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Beobachtung an der Bewertung</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sie nahelegt</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Wonach der Auditor fragt</w:t>
            </w:r>
          </w:p>
        </w:tc>
        <w:tc>
          <w:tcPr>
            <w:tcW w:type="dxa" w:w="164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Beobachtung</w:t>
            </w:r>
          </w:p>
        </w:tc>
        <w:tc>
          <w:tcPr>
            <w:tcW w:type="dxa" w:w="328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Antwort / Befund</w:t>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Fast alle Gefährdungen liegen im mittleren Bereich</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Es wurde nicht unterschieden, sondern ausgefüllt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ist die gefährlichste, und warum?"</w:t>
            </w:r>
          </w:p>
        </w:tc>
        <w:tc>
          <w:tcPr>
            <w:tcW w:type="dxa" w:w="164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trifft zu</w:t>
            </w:r>
          </w:p>
          <w:p>
            <w:pPr>
              <w:spacing w:after="20" w:line="252" w:lineRule="auto"/>
            </w:pPr>
            <w:r>
              <w:rPr>
                <w:rFonts w:ascii="Aptos" w:hAnsi="Aptos" w:cs="Aptos" w:eastAsia="Aptos"/>
                <w:b w:val="0"/>
                <w:i w:val="0"/>
                <w:sz w:val="17"/>
              </w:rPr>
              <w:t>☐ trifft nicht zu</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Zwei ähnliche Gefährdungen sind unterschiedlich bewertet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 einheitliches Kriterium</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 welchem Maßstab ist das entstanden?"</w:t>
            </w:r>
          </w:p>
        </w:tc>
        <w:tc>
          <w:tcPr>
            <w:tcW w:type="dxa" w:w="164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trifft zu</w:t>
            </w:r>
          </w:p>
          <w:p>
            <w:pPr>
              <w:spacing w:after="20" w:line="252" w:lineRule="auto"/>
            </w:pPr>
            <w:r>
              <w:rPr>
                <w:rFonts w:ascii="Aptos" w:hAnsi="Aptos" w:cs="Aptos" w:eastAsia="Aptos"/>
                <w:b w:val="0"/>
                <w:i w:val="0"/>
                <w:sz w:val="17"/>
              </w:rPr>
              <w:t>☐ trifft nicht zu</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Bewertung ändert sich nie, auch nicht nach Maßnahmen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Das Restrisiko wurde nie neu betrachtet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hat die Maßnahme an der Bewertung geändert?"</w:t>
            </w:r>
          </w:p>
        </w:tc>
        <w:tc>
          <w:tcPr>
            <w:tcW w:type="dxa" w:w="164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trifft zu</w:t>
            </w:r>
          </w:p>
          <w:p>
            <w:pPr>
              <w:spacing w:after="20" w:line="252" w:lineRule="auto"/>
            </w:pPr>
            <w:r>
              <w:rPr>
                <w:rFonts w:ascii="Aptos" w:hAnsi="Aptos" w:cs="Aptos" w:eastAsia="Aptos"/>
                <w:b w:val="0"/>
                <w:i w:val="0"/>
                <w:sz w:val="17"/>
              </w:rPr>
              <w:t>☐ trifft nicht zu</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Eine Gefährdung mit Todesfolge-Potenzial ist mittel bewertet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mögliche Schwere wurde gegen die Häufigkeit verrechnet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ist der schlimmste plausible Ausgang?"</w:t>
            </w:r>
          </w:p>
        </w:tc>
        <w:tc>
          <w:tcPr>
            <w:tcW w:type="dxa" w:w="164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trifft zu</w:t>
            </w:r>
          </w:p>
          <w:p>
            <w:pPr>
              <w:spacing w:after="20" w:line="252" w:lineRule="auto"/>
            </w:pPr>
            <w:r>
              <w:rPr>
                <w:rFonts w:ascii="Aptos" w:hAnsi="Aptos" w:cs="Aptos" w:eastAsia="Aptos"/>
                <w:b w:val="0"/>
                <w:i w:val="0"/>
                <w:sz w:val="17"/>
              </w:rPr>
              <w:t>☐ trifft nicht zu</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Bewertung stammt vom Ersteller, nicht aus dem Bereich</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Ausführenden waren nicht beteiligt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hat das bewertet, und war er hier?"</w:t>
            </w:r>
          </w:p>
        </w:tc>
        <w:tc>
          <w:tcPr>
            <w:tcW w:type="dxa" w:w="164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trifft zu</w:t>
            </w:r>
          </w:p>
          <w:p>
            <w:pPr>
              <w:spacing w:after="20" w:line="252" w:lineRule="auto"/>
            </w:pPr>
            <w:r>
              <w:rPr>
                <w:rFonts w:ascii="Aptos" w:hAnsi="Aptos" w:cs="Aptos" w:eastAsia="Aptos"/>
                <w:b w:val="0"/>
                <w:i w:val="0"/>
                <w:sz w:val="17"/>
              </w:rPr>
              <w:t>☐ trifft nicht zu</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Seltene Ereignisse mit schweren Folgen (Arbeiten in Höhe ohne Sicherung, Freischaltung einer Anlage, Alleinarbeit im Technikraum) verlangen besondere Aufmerksamkeit; ein günstiger Matrixwert ersetzt keine gesetzlich erforderliche Schutzmaßnahme.</w:t>
      </w:r>
    </w:p>
    <w:p>
      <w:pPr>
        <w:keepNext/>
        <w:pageBreakBefore w:val="0"/>
        <w:spacing w:before="280" w:after="80"/>
        <w:pBdr>
          <w:bottom w:val="single" w:sz="6" w:space="2" w:color="C9BBA6"/>
        </w:pBdr>
      </w:pPr>
      <w:r>
        <w:rPr>
          <w:rFonts w:ascii="Aptos" w:hAnsi="Aptos" w:cs="Aptos" w:eastAsia="Aptos"/>
          <w:b/>
          <w:color w:val="8C5A2B"/>
          <w:sz w:val="28"/>
        </w:rPr>
        <w:t>6   Vom Papier in den Betrieb: Auslöser und Integration der Maßnahmen</w:t>
      </w:r>
    </w:p>
    <w:p>
      <w:pPr>
        <w:keepNext/>
        <w:spacing w:before="160" w:after="60"/>
      </w:pPr>
      <w:r>
        <w:rPr>
          <w:rFonts w:ascii="Aptos" w:hAnsi="Aptos" w:cs="Aptos" w:eastAsia="Aptos"/>
          <w:b/>
          <w:color w:val="8C5A2B"/>
          <w:sz w:val="23"/>
        </w:rPr>
        <w:t>Die vier Auslöser der Überarbeitung (ein starrer Jahresturnus steht weder in der Norm noch im nationalen Recht)</w:t>
      </w:r>
    </w:p>
    <w:tbl>
      <w:tblPr>
        <w:jc w:val="center"/>
        <w:tblLook w:firstColumn="1" w:firstRow="1" w:lastColumn="0" w:lastRow="0" w:noHBand="0" w:noVBand="1" w:val="04A0"/>
        <w:tblW w:w="14798" w:type="dxa"/>
        <w:tblLayout w:type="fixed"/>
      </w:tblPr>
      <w:tblGrid>
        <w:gridCol w:w="2608"/>
        <w:gridCol w:w="2608"/>
        <w:gridCol w:w="3061"/>
        <w:gridCol w:w="2041"/>
        <w:gridCol w:w="2041"/>
        <w:gridCol w:w="2438"/>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Auslöser</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Beispiel im Hotel (Buch)</w:t>
            </w:r>
          </w:p>
        </w:tc>
        <w:tc>
          <w:tcPr>
            <w:tcW w:type="dxa" w:w="306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Wer meldet ihn (Buch)</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Verfahren?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Bekannt gemacht?</w:t>
            </w:r>
          </w:p>
        </w:tc>
        <w:tc>
          <w:tcPr>
            <w:tcW w:type="dxa" w:w="243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Letzte Überarbeitung aus diesem Auslöser (Datum, Anlass)</w:t>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Änderung an Mitteln oder Stoffen</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Neue Spülmaschine, neuer Reinigungslieferant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Technik und Einkauf – deshalb müssen beide den Auslöser kennen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Verfahren festgehalten</w:t>
            </w:r>
          </w:p>
          <w:p>
            <w:pPr>
              <w:spacing w:after="20" w:line="252" w:lineRule="auto"/>
            </w:pPr>
            <w:r>
              <w:rPr>
                <w:rFonts w:ascii="Aptos" w:hAnsi="Aptos" w:cs="Aptos" w:eastAsia="Aptos"/>
                <w:b w:val="0"/>
                <w:i w:val="0"/>
                <w:sz w:val="17"/>
              </w:rPr>
              <w:t>☐ nicht festgehalten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den Meldenden bekannt</w:t>
            </w:r>
          </w:p>
          <w:p>
            <w:pPr>
              <w:spacing w:after="20" w:line="252" w:lineRule="auto"/>
            </w:pPr>
            <w:r>
              <w:rPr>
                <w:rFonts w:ascii="Aptos" w:hAnsi="Aptos" w:cs="Aptos" w:eastAsia="Aptos"/>
                <w:b w:val="0"/>
                <w:i w:val="0"/>
                <w:sz w:val="17"/>
              </w:rPr>
              <w:t>☐ nicht bekannt</w:t>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Änderung an Abläufen oder Personalstärke</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Frühstück verlängert, zwei Stellen unbesetzt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Bereichsleitung</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Verfahren festgehalten</w:t>
            </w:r>
          </w:p>
          <w:p>
            <w:pPr>
              <w:spacing w:after="20" w:line="252" w:lineRule="auto"/>
            </w:pPr>
            <w:r>
              <w:rPr>
                <w:rFonts w:ascii="Aptos" w:hAnsi="Aptos" w:cs="Aptos" w:eastAsia="Aptos"/>
                <w:b w:val="0"/>
                <w:i w:val="0"/>
                <w:sz w:val="17"/>
              </w:rPr>
              <w:t>☐ nicht festgehalten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den Meldenden bekannt</w:t>
            </w:r>
          </w:p>
          <w:p>
            <w:pPr>
              <w:spacing w:after="20" w:line="252" w:lineRule="auto"/>
            </w:pPr>
            <w:r>
              <w:rPr>
                <w:rFonts w:ascii="Aptos" w:hAnsi="Aptos" w:cs="Aptos" w:eastAsia="Aptos"/>
                <w:b w:val="0"/>
                <w:i w:val="0"/>
                <w:sz w:val="17"/>
              </w:rPr>
              <w:t>☐ nicht bekannt</w:t>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Ereignis oder Beinaheunfall</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Sturz an der Rampe, Verätzung auf der Etage</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Meldewesen – jede Meldung ist ein Prüfanlass</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Verfahren festgehalten</w:t>
            </w:r>
          </w:p>
          <w:p>
            <w:pPr>
              <w:spacing w:after="20" w:line="252" w:lineRule="auto"/>
            </w:pPr>
            <w:r>
              <w:rPr>
                <w:rFonts w:ascii="Aptos" w:hAnsi="Aptos" w:cs="Aptos" w:eastAsia="Aptos"/>
                <w:b w:val="0"/>
                <w:i w:val="0"/>
                <w:sz w:val="17"/>
              </w:rPr>
              <w:t>☐ nicht festgehalten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den Meldenden bekannt</w:t>
            </w:r>
          </w:p>
          <w:p>
            <w:pPr>
              <w:spacing w:after="20" w:line="252" w:lineRule="auto"/>
            </w:pPr>
            <w:r>
              <w:rPr>
                <w:rFonts w:ascii="Aptos" w:hAnsi="Aptos" w:cs="Aptos" w:eastAsia="Aptos"/>
                <w:b w:val="0"/>
                <w:i w:val="0"/>
                <w:sz w:val="17"/>
              </w:rPr>
              <w:t>☐ nicht bekannt</w:t>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Neue Erkenntnis oder Rechtsänderung</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Neue Einstufung eines Mittels, neue Vorschrift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Sicherheitsfachkraft, Änderungsdienst des Unfallversicherungsträgers</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Verfahren festgehalten</w:t>
            </w:r>
          </w:p>
          <w:p>
            <w:pPr>
              <w:spacing w:after="20" w:line="252" w:lineRule="auto"/>
            </w:pPr>
            <w:r>
              <w:rPr>
                <w:rFonts w:ascii="Aptos" w:hAnsi="Aptos" w:cs="Aptos" w:eastAsia="Aptos"/>
                <w:b w:val="0"/>
                <w:i w:val="0"/>
                <w:sz w:val="17"/>
              </w:rPr>
              <w:t>☐ nicht festgehalten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den Meldenden bekannt</w:t>
            </w:r>
          </w:p>
          <w:p>
            <w:pPr>
              <w:spacing w:after="20" w:line="252" w:lineRule="auto"/>
            </w:pPr>
            <w:r>
              <w:rPr>
                <w:rFonts w:ascii="Aptos" w:hAnsi="Aptos" w:cs="Aptos" w:eastAsia="Aptos"/>
                <w:b w:val="0"/>
                <w:i w:val="0"/>
                <w:sz w:val="17"/>
              </w:rPr>
              <w:t>☐ nicht bekannt</w:t>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spacing w:before="160" w:after="60"/>
      </w:pPr>
      <w:r>
        <w:rPr>
          <w:rFonts w:ascii="Aptos" w:hAnsi="Aptos" w:cs="Aptos" w:eastAsia="Aptos"/>
          <w:b/>
          <w:color w:val="8C5A2B"/>
          <w:sz w:val="23"/>
        </w:rPr>
        <w:t>Integration der Maßnahmen (Klausel 6.1.4): Die Maßnahme muss außerhalb der Gefährdungsbeurteilung auffindbar sein</w:t>
      </w:r>
    </w:p>
    <w:tbl>
      <w:tblPr>
        <w:jc w:val="center"/>
        <w:tblLook w:firstColumn="1" w:firstRow="1" w:lastColumn="0" w:lastRow="0" w:noHBand="0" w:noVBand="1" w:val="04A0"/>
        <w:tblW w:w="14798" w:type="dxa"/>
        <w:tblLayout w:type="fixed"/>
      </w:tblPr>
      <w:tblGrid>
        <w:gridCol w:w="3515"/>
        <w:gridCol w:w="3175"/>
        <w:gridCol w:w="3515"/>
        <w:gridCol w:w="1701"/>
        <w:gridCol w:w="2891"/>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Maßnahme aus der Beurteilung</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 sie integriert gehört (Prozess des Hauses)</w:t>
            </w:r>
          </w:p>
        </w:tc>
        <w:tc>
          <w:tcPr>
            <w:tcW w:type="dxa" w:w="351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Woran Sie die Integration erkennen</w:t>
            </w:r>
          </w:p>
        </w:tc>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Ergebnis</w:t>
            </w:r>
          </w:p>
        </w:tc>
        <w:tc>
          <w:tcPr>
            <w:tcW w:type="dxa" w:w="289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 / Beleg</w:t>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Beispiel: Hubhilfe für die Wäscherei</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Investitionsplanung</w:t>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Sie steht im Budget des Folgejahres mit Betrag</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Beispiel: Matratzen zu zweit drehen</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Schicht- und Einsatzplanung</w:t>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Zwei Personen sind zeitgleich eingeteilt</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Beispiel: Ruhige Zeit ohne Anrufe für die Etage</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Telefonorganisation und Dienstanweisung</w:t>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Die Zentrale kennt die Regel und hält sie</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38"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gefunden</w:t>
            </w:r>
          </w:p>
          <w:p>
            <w:pPr>
              <w:spacing w:after="20" w:line="252" w:lineRule="auto"/>
            </w:pPr>
            <w:r>
              <w:rPr>
                <w:rFonts w:ascii="Aptos" w:hAnsi="Aptos" w:cs="Aptos" w:eastAsia="Aptos"/>
                <w:b w:val="0"/>
                <w:i w:val="0"/>
                <w:sz w:val="17"/>
              </w:rPr>
              <w:t>☐ nicht gefunden</w:t>
            </w:r>
          </w:p>
        </w:tc>
        <w:tc>
          <w:tcPr>
            <w:tcW w:type="dxa" w:w="28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Was keinem regulären Prozess zugeordnet werden kann, wird auch nicht umgesetzt. Eine Maßnahme, die im Dokument steht und im Betrieb nicht praktiziert wird, ist selten ein Verhaltensproblem – meist ist sie nicht praktikabel, und das gehört in die Beurteilung zurückgemeldet, nicht in eine Unterweisung.</w:t>
      </w:r>
    </w:p>
    <w:p>
      <w:pPr>
        <w:keepNext/>
        <w:pageBreakBefore w:val="0"/>
        <w:spacing w:before="280" w:after="80"/>
        <w:pBdr>
          <w:bottom w:val="single" w:sz="6" w:space="2" w:color="C9BBA6"/>
        </w:pBdr>
      </w:pPr>
      <w:r>
        <w:rPr>
          <w:rFonts w:ascii="Aptos" w:hAnsi="Aptos" w:cs="Aptos" w:eastAsia="Aptos"/>
          <w:b/>
          <w:color w:val="8C5A2B"/>
          <w:sz w:val="28"/>
        </w:rPr>
        <w:t>7   Gesamtbild</w:t>
      </w:r>
    </w:p>
    <w:p>
      <w:pPr>
        <w:spacing w:after="80"/>
        <w:jc w:val="both"/>
      </w:pPr>
      <w:r>
        <w:rPr>
          <w:rFonts w:ascii="Aptos" w:hAnsi="Aptos" w:cs="Aptos" w:eastAsia="Aptos"/>
          <w:b w:val="0"/>
          <w:i w:val="0"/>
          <w:sz w:val="19"/>
        </w:rPr>
        <w:t>Von allen Prüfungen der Gefährdungsbeurteilung ist die auf Aktualität die wichtigste – wichtiger als Vollständigkeit, Form und Umfang. Sie ist das erste Dokument, das nach einem meldepflichtigen Ereignis geprüft wird, gefolgt vom Unterweisungsnachweis der betroffenen Person und der Prüfung des beteiligten Arbeitsmittels.</w:t>
      </w:r>
    </w:p>
    <w:tbl>
      <w:tblPr>
        <w:jc w:val="center"/>
        <w:tblLook w:firstColumn="1" w:firstRow="1" w:lastColumn="0" w:lastRow="0" w:noHBand="0" w:noVBand="1" w:val="04A0"/>
        <w:tblW w:w="14798" w:type="dxa"/>
        <w:tblLayout w:type="fixed"/>
      </w:tblPr>
      <w:tblGrid>
        <w:gridCol w:w="9639"/>
        <w:gridCol w:w="5159"/>
      </w:tblGrid>
      <w:tr>
        <w:trPr>
          <w:tblHeader w:val="true"/>
        </w:trPr>
        <w:tc>
          <w:tcPr>
            <w:tcW w:type="dxa" w:w="963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Kennzahl (zu überwachen)</w:t>
            </w:r>
          </w:p>
        </w:tc>
        <w:tc>
          <w:tcPr>
            <w:tcW w:type="dxa" w:w="515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Ergebnis</w:t>
            </w:r>
          </w:p>
        </w:tc>
      </w:tr>
      <w:tr>
        <w:trPr>
          <w:cantSplit w:val="true"/>
          <w:trHeight w:val="453" w:hRule="atLeast"/>
        </w:trPr>
        <w:tc>
          <w:tcPr>
            <w:tcW w:type="dxa" w:w="963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Überarbeitungen im letzten Jahr, die aus einem der vier Auslöser entstanden sind (nicht aus dem Kalender)</w:t>
            </w:r>
          </w:p>
        </w:tc>
        <w:tc>
          <w:tcPr>
            <w:tcW w:type="dxa" w:w="515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von           Überarbeitungen insgesamt</w:t>
            </w:r>
          </w:p>
        </w:tc>
      </w:tr>
      <w:tr>
        <w:trPr>
          <w:cantSplit w:val="true"/>
          <w:trHeight w:val="453" w:hRule="atLeast"/>
        </w:trPr>
        <w:tc>
          <w:tcPr>
            <w:tcW w:type="dxa" w:w="963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Bereichsleitungen, die ihre eigene Beurteilung ohne Nachschlagen in Grundzügen wiedergeben können</w:t>
            </w:r>
          </w:p>
        </w:tc>
        <w:tc>
          <w:tcPr>
            <w:tcW w:type="dxa" w:w="515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von           Bereichsleitungen</w:t>
            </w:r>
          </w:p>
        </w:tc>
      </w:tr>
    </w:tbl>
    <w:p>
      <w:pPr>
        <w:spacing w:after="40"/>
      </w:pPr>
    </w:p>
    <w:tbl>
      <w:tblPr>
        <w:jc w:val="center"/>
        <w:tblLook w:firstColumn="1" w:firstRow="1" w:lastColumn="0" w:lastRow="0" w:noHBand="0" w:noVBand="1" w:val="04A0"/>
        <w:tblW w:w="14798" w:type="dxa"/>
        <w:tblLayout w:type="fixed"/>
      </w:tblPr>
      <w:tblGrid>
        <w:gridCol w:w="7371"/>
        <w:gridCol w:w="7427"/>
      </w:tblGrid>
      <w:tr>
        <w:trPr>
          <w:tblHeader w:val="true"/>
        </w:trPr>
        <w:tc>
          <w:tcPr>
            <w:tcW w:type="dxa" w:w="7370"/>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Wichtigster Befund (Aktualität zuerst)</w:t>
            </w:r>
          </w:p>
        </w:tc>
        <w:tc>
          <w:tcPr>
            <w:tcW w:type="dxa" w:w="742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Maßnahme, verantwortlich, bis wann</w:t>
            </w:r>
          </w:p>
        </w:tc>
      </w:tr>
      <w:tr>
        <w:trPr>
          <w:cantSplit w:val="true"/>
          <w:trHeight w:val="737" w:hRule="atLeast"/>
        </w:trPr>
        <w:tc>
          <w:tcPr>
            <w:tcW w:type="dxa" w:w="737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742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spacing w:before="160" w:after="60"/>
      </w:pPr>
      <w:r>
        <w:rPr>
          <w:rFonts w:ascii="Aptos" w:hAnsi="Aptos" w:cs="Aptos" w:eastAsia="Aptos"/>
          <w:b/>
          <w:color w:val="8C5A2B"/>
          <w:sz w:val="23"/>
        </w:rPr>
        <w:t>Rechtlicher Rahmen laut Buch (verbindlich ist die jeweils gültige Fassung)</w:t>
      </w:r>
    </w:p>
    <w:p>
      <w:pPr>
        <w:jc w:val="both"/>
      </w:pPr>
      <w:r>
        <w:rPr>
          <w:rFonts w:ascii="Aptos" w:hAnsi="Aptos" w:cs="Aptos" w:eastAsia="Aptos"/>
          <w:b w:val="0"/>
          <w:i w:val="0"/>
          <w:sz w:val="18"/>
        </w:rPr>
        <w:t>Deutschland: Grundpflicht § 5 ArbSchG; psychische Belastung ausdrücklich § 5 Abs. 3 Nr. 6 ArbSchG; Dokumentation § 6 ArbSchG; Beteiligung § 17 ArbSchG und Beteiligungsrechte nach BetrVG; Jugendliche und Schwangere: JArbSchG, MuSchG (gesonderte Beurteilung). Österreich: § 4 ASchG (Ermittlung und Beurteilung, „Evaluierung", in Verbindung mit der Evaluierung psychischer Belastungen); Dokumentation § 5 ASchG (Sicherheits- und Gesundheitsschutzdokumente); Beteiligung §§ 11, 13 ASchG, Sicherheitsvertrauenspersonen; KJBG, MSchG (gesonderte Beurteilung). Schweiz: Art. 3 VUV und EKAS-Richtlinie 6508; Art. 2 ArGV 3 (Schutz der Gesundheit, einschließlich psychischer); Nachweis im Rahmen des ASA-Konzepts; Art. 6a VUV (Mitwirkungsrecht); ArGV 1 und ArGV 5 (gesonderte Beurteilung). Anlass zur Überprüfung: D Änderungen, Ereignisse, neue Erkenntnisse; A Änderungen, Unfälle, neue Erkenntnisse; CH Änderungen, Ereignisse. Norm: Es gilt die ISO 45001:2018, im deutschsprachigen Raum national übernommen (DIN EN ISO 45001:2023-12, ÖNORM EN ISO 45001:2023-12-01, SN EN ISO 45001:2023) und ergänzt um Amd 1:2024 (Klima). Der Entwurf ISO/DIS 45001 ist keine geltende Anforderung; eine ISO 45001:2026 existiert nicht (Abschnitte 3.1 und 4.13).</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weder die Gefährdungsbeurteilung des konkreten Hauses noch das Urteil der Zertifizierungsstelle. Sie prüft Vollständigkeit, Aktualität, Beteiligung, Methodik und Wirksamkeit, aber nicht, ob eine einzelne Bewertung inhaltlich richtig ist. Das Raster der Faktoren stützt den Blick, ersetzt ihn aber nicht: Die Richtigkeit der Beurteilung steht nicht im Dokument, sondern im Betrieb. Verbindlich ist die jeweils gültige Fassung von Gesetz und Norm.</w:t>
      </w:r>
    </w:p>
    <w:sectPr w:rsidR="00FC693F" w:rsidRPr="0006063C" w:rsidSect="00034616">
      <w:footerReference w:type="default" r:id="rId9"/>
      <w:pgSz w:w="16838" w:h="11906"/>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