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ptos" w:hAnsi="Aptos" w:cs="Aptos" w:eastAsia="Aptos"/>
          <w:b/>
          <w:color w:val="7A6A55"/>
          <w:sz w:val="17"/>
        </w:rPr>
        <w:t>VORLAGE ZU ABSCHNITT 3.7 DES BANDES 3B</w:t>
      </w:r>
    </w:p>
    <w:p>
      <w:pPr>
        <w:spacing w:after="60"/>
        <w:pBdr>
          <w:bottom w:val="single" w:sz="8" w:space="4" w:color="C9BBA6"/>
        </w:pBdr>
      </w:pPr>
      <w:r>
        <w:rPr>
          <w:rFonts w:ascii="Aptos" w:hAnsi="Aptos" w:cs="Aptos" w:eastAsia="Aptos"/>
          <w:b/>
          <w:color w:val="8C5A2B"/>
          <w:sz w:val="42"/>
        </w:rPr>
        <w:t>Prüfblatt zur Rechtskonformität</w:t>
      </w:r>
    </w:p>
    <w:p>
      <w:pPr>
        <w:spacing w:before="80" w:after="200"/>
      </w:pPr>
      <w:r>
        <w:rPr>
          <w:rFonts w:ascii="Aptos" w:hAnsi="Aptos" w:cs="Aptos" w:eastAsia="Aptos"/>
          <w:i/>
          <w:color w:val="7A6A55"/>
          <w:sz w:val="21"/>
        </w:rPr>
        <w:t>Nicht die Rechtslage wird geprüft, sondern die Kette, mit der ein Haus sie kennt, zuordnet und überprüft – ein Blatt je Haus und Land</w:t>
      </w:r>
    </w:p>
    <w:p>
      <w:pPr>
        <w:spacing w:after="80"/>
      </w:pPr>
      <w:r>
        <w:rPr>
          <w:rFonts w:ascii="Aptos" w:hAnsi="Aptos" w:cs="Aptos" w:eastAsia="Aptos"/>
          <w:b/>
          <w:i w:val="0"/>
          <w:color w:val="7A6A55"/>
          <w:sz w:val="18"/>
        </w:rPr>
        <w:t xml:space="preserve">Bezug im Buch: </w:t>
      </w:r>
      <w:r>
        <w:rPr>
          <w:rFonts w:ascii="Aptos" w:hAnsi="Aptos" w:cs="Aptos" w:eastAsia="Aptos"/>
          <w:b w:val="0"/>
          <w:i w:val="0"/>
          <w:color w:val="7A6A55"/>
          <w:sz w:val="18"/>
        </w:rPr>
        <w:t>Abschnitt 3.7 (mit 3.6, 3.8, 3.9 und 3.10); Norm: Klauseln 6.1.3 und 9.1.2 der ISO 45001:2018.</w:t>
      </w:r>
    </w:p>
    <w:tbl>
      <w:tblPr>
        <w:tblW w:type="auto" w:w="0"/>
        <w:jc w:val="center"/>
        <w:tblLook w:firstColumn="1" w:firstRow="1" w:lastColumn="0" w:lastRow="0" w:noHBand="0" w:noVBand="1" w:val="04A0"/>
      </w:tblPr>
      <w:tblGrid>
        <w:gridCol w:w="14798"/>
      </w:tblGrid>
      <w:tr>
        <w:tc>
          <w:tcPr>
            <w:tcW w:type="dxa" w:w="14798"/>
            <w:shd w:val="clear" w:color="auto" w:fill="EFE7DC"/>
            <w:tcBorders>
              <w:left w:val="single" w:sz="24" w:space="0" w:color="8C5A2B"/>
            </w:tcBorders>
          </w:tcPr>
          <w:p>
            <w:pPr>
              <w:spacing w:after="40"/>
            </w:pPr>
            <w:r>
              <w:rPr>
                <w:rFonts w:ascii="Aptos" w:hAnsi="Aptos" w:cs="Aptos" w:eastAsia="Aptos"/>
                <w:b/>
                <w:i w:val="0"/>
                <w:color w:val="8C5A2B"/>
                <w:sz w:val="21"/>
              </w:rPr>
              <w:t>So nutzen Sie diese Vorlage</w:t>
            </w:r>
          </w:p>
          <w:p>
            <w:pPr>
              <w:spacing w:after="40"/>
              <w:ind w:left="340" w:hanging="340"/>
            </w:pPr>
            <w:r>
              <w:rPr>
                <w:rFonts w:ascii="Aptos" w:hAnsi="Aptos" w:cs="Aptos" w:eastAsia="Aptos"/>
                <w:b/>
                <w:i w:val="0"/>
                <w:color w:val="8C5A2B"/>
                <w:sz w:val="19"/>
              </w:rPr>
              <w:t xml:space="preserve">1.  </w:t>
            </w:r>
            <w:r>
              <w:rPr>
                <w:rFonts w:ascii="Aptos" w:hAnsi="Aptos" w:cs="Aptos" w:eastAsia="Aptos"/>
                <w:b w:val="0"/>
                <w:i w:val="0"/>
                <w:sz w:val="19"/>
              </w:rPr>
              <w:t>Prüfen Sie das Verfahren, nicht das Recht: Das Blatt führt Sie an den fünf Gliedern der Kette entlang. Stoßen Sie an die Grenze Ihrer Zuständigkeit, lautet der Befund nicht „Verstoß", sondern: „Zu dieser Frage liegt keine fachliche Bewertung vor; eine solche ist einzuholen."</w:t>
            </w:r>
          </w:p>
          <w:p>
            <w:pPr>
              <w:spacing w:after="40"/>
              <w:ind w:left="340" w:hanging="340"/>
            </w:pPr>
            <w:r>
              <w:rPr>
                <w:rFonts w:ascii="Aptos" w:hAnsi="Aptos" w:cs="Aptos" w:eastAsia="Aptos"/>
                <w:b/>
                <w:i w:val="0"/>
                <w:color w:val="8C5A2B"/>
                <w:sz w:val="19"/>
              </w:rPr>
              <w:t xml:space="preserve">2.  </w:t>
            </w:r>
            <w:r>
              <w:rPr>
                <w:rFonts w:ascii="Aptos" w:hAnsi="Aptos" w:cs="Aptos" w:eastAsia="Aptos"/>
                <w:b w:val="0"/>
                <w:i w:val="0"/>
                <w:sz w:val="19"/>
              </w:rPr>
              <w:t>Ein Blatt je Haus und je Land: Ein über Ländergrenzen übernommenes Verzeichnis ist selbst schon ein Befund. Dieselbe Sprache bedeutet nicht dieselbe Rechtsordnung.</w:t>
            </w:r>
          </w:p>
          <w:p>
            <w:pPr>
              <w:spacing w:after="40"/>
              <w:ind w:left="340" w:hanging="340"/>
            </w:pPr>
            <w:r>
              <w:rPr>
                <w:rFonts w:ascii="Aptos" w:hAnsi="Aptos" w:cs="Aptos" w:eastAsia="Aptos"/>
                <w:b/>
                <w:i w:val="0"/>
                <w:color w:val="8C5A2B"/>
                <w:sz w:val="19"/>
              </w:rPr>
              <w:t xml:space="preserve">3.  </w:t>
            </w:r>
            <w:r>
              <w:rPr>
                <w:rFonts w:ascii="Aptos" w:hAnsi="Aptos" w:cs="Aptos" w:eastAsia="Aptos"/>
                <w:b w:val="0"/>
                <w:i w:val="0"/>
                <w:sz w:val="19"/>
              </w:rPr>
              <w:t>Das Schema „Wirkt es im Betrieb?" (Teil 6) verbindet die Vorschrift mit dem Bereich: Ein Eintrag ohne Prozess und ohne Namen ist eine Bibliografie. Das Blatt ist ein Hilfsmittel für den Blick, kein Ablagestück.</w:t>
            </w:r>
          </w:p>
        </w:tc>
      </w:tr>
    </w:tbl>
    <w:p>
      <w:pPr>
        <w:spacing w:after="0"/>
      </w:pPr>
    </w:p>
    <w:tbl>
      <w:tblPr>
        <w:tblLook w:firstColumn="1" w:firstRow="1" w:lastColumn="0" w:lastRow="0" w:noHBand="0" w:noVBand="1" w:val="04A0"/>
        <w:tblW w:w="14628" w:type="dxa"/>
        <w:tblLayout w:type="fixed"/>
      </w:tblPr>
      <w:tblGrid>
        <w:gridCol w:w="1927"/>
        <w:gridCol w:w="2948"/>
        <w:gridCol w:w="1927"/>
        <w:gridCol w:w="2948"/>
        <w:gridCol w:w="1927"/>
        <w:gridCol w:w="2948"/>
      </w:tblGrid>
      <w:tr>
        <w:trPr>
          <w:trHeight w:val="425" w:hRule="atLeast"/>
          <w:trHeight w:val="425" w:hRule="atLeast"/>
          <w:trHeight w:val="425" w:hRule="atLeast"/>
        </w:trPr>
        <w:tc>
          <w:tcPr>
            <w:tcW w:type="dxa" w:w="1928"/>
          </w:tcPr>
          <w:p>
            <w:pPr>
              <w:spacing w:after="20"/>
            </w:pPr>
            <w:r>
              <w:rPr>
                <w:rFonts w:ascii="Aptos" w:hAnsi="Aptos" w:cs="Aptos" w:eastAsia="Aptos"/>
                <w:b/>
                <w:i w:val="0"/>
                <w:color w:val="8C5A2B"/>
                <w:sz w:val="18"/>
              </w:rPr>
              <w:t>Haus</w:t>
            </w:r>
          </w:p>
        </w:tc>
        <w:tc>
          <w:tcPr>
            <w:tcW w:type="dxa" w:w="2948"/>
            <w:tcBorders>
              <w:bottom w:val="single" w:sz="6" w:space="0" w:color="C9BBA6"/>
            </w:tcBorders>
          </w:tcPr>
          <w:p>
            <w:pPr>
              <w:spacing w:after="20"/>
            </w:pPr>
          </w:p>
        </w:tc>
        <w:tc>
          <w:tcPr>
            <w:tcW w:type="dxa" w:w="1928"/>
          </w:tcPr>
          <w:p>
            <w:pPr>
              <w:spacing w:after="20"/>
            </w:pPr>
            <w:r>
              <w:rPr>
                <w:rFonts w:ascii="Aptos" w:hAnsi="Aptos" w:cs="Aptos" w:eastAsia="Aptos"/>
                <w:b/>
                <w:i w:val="0"/>
                <w:color w:val="8C5A2B"/>
                <w:sz w:val="18"/>
              </w:rPr>
              <w:t>Land</w:t>
            </w:r>
          </w:p>
        </w:tc>
        <w:tc>
          <w:tcPr>
            <w:tcW w:type="dxa" w:w="2948"/>
            <w:tcBorders>
              <w:bottom w:val="single" w:sz="6" w:space="0" w:color="C9BBA6"/>
            </w:tcBorders>
          </w:tcPr>
          <w:p>
            <w:pPr>
              <w:spacing w:after="20"/>
            </w:pPr>
          </w:p>
        </w:tc>
        <w:tc>
          <w:tcPr>
            <w:tcW w:type="dxa" w:w="1928"/>
          </w:tcPr>
          <w:p>
            <w:pPr>
              <w:spacing w:after="20"/>
            </w:pPr>
            <w:r>
              <w:rPr>
                <w:rFonts w:ascii="Aptos" w:hAnsi="Aptos" w:cs="Aptos" w:eastAsia="Aptos"/>
                <w:b/>
                <w:i w:val="0"/>
                <w:color w:val="8C5A2B"/>
                <w:sz w:val="18"/>
              </w:rPr>
              <w:t>Auditor/in</w:t>
            </w:r>
          </w:p>
        </w:tc>
        <w:tc>
          <w:tcPr>
            <w:tcW w:type="dxa" w:w="2948"/>
            <w:tcBorders>
              <w:bottom w:val="single" w:sz="6" w:space="0" w:color="C9BBA6"/>
            </w:tcBorders>
          </w:tcPr>
          <w:p>
            <w:pPr>
              <w:spacing w:after="20"/>
            </w:pPr>
          </w:p>
        </w:tc>
      </w:tr>
      <w:tr>
        <w:trPr>
          <w:trHeight w:val="425" w:hRule="atLeast"/>
          <w:trHeight w:val="425" w:hRule="atLeast"/>
          <w:trHeight w:val="425" w:hRule="atLeast"/>
        </w:trPr>
        <w:tc>
          <w:tcPr>
            <w:tcW w:type="dxa" w:w="1928"/>
          </w:tcPr>
          <w:p>
            <w:pPr>
              <w:spacing w:after="20"/>
            </w:pPr>
            <w:r>
              <w:rPr>
                <w:rFonts w:ascii="Aptos" w:hAnsi="Aptos" w:cs="Aptos" w:eastAsia="Aptos"/>
                <w:b/>
                <w:i w:val="0"/>
                <w:color w:val="8C5A2B"/>
                <w:sz w:val="18"/>
              </w:rPr>
              <w:t>Verzeichnis (Titel, Fassung)</w:t>
            </w:r>
          </w:p>
        </w:tc>
        <w:tc>
          <w:tcPr>
            <w:tcW w:type="dxa" w:w="2948"/>
            <w:tcBorders>
              <w:bottom w:val="single" w:sz="6" w:space="0" w:color="C9BBA6"/>
            </w:tcBorders>
          </w:tcPr>
          <w:p>
            <w:pPr>
              <w:spacing w:after="20"/>
            </w:pPr>
          </w:p>
        </w:tc>
        <w:tc>
          <w:tcPr>
            <w:tcW w:type="dxa" w:w="1928"/>
          </w:tcPr>
          <w:p>
            <w:pPr>
              <w:spacing w:after="20"/>
            </w:pPr>
            <w:r>
              <w:rPr>
                <w:rFonts w:ascii="Aptos" w:hAnsi="Aptos" w:cs="Aptos" w:eastAsia="Aptos"/>
                <w:b/>
                <w:i w:val="0"/>
                <w:color w:val="8C5A2B"/>
                <w:sz w:val="18"/>
              </w:rPr>
              <w:t>Datum der letzten Änderung</w:t>
            </w:r>
          </w:p>
        </w:tc>
        <w:tc>
          <w:tcPr>
            <w:tcW w:type="dxa" w:w="2948"/>
            <w:tcBorders>
              <w:bottom w:val="single" w:sz="6" w:space="0" w:color="C9BBA6"/>
            </w:tcBorders>
          </w:tcPr>
          <w:p>
            <w:pPr>
              <w:spacing w:after="20"/>
            </w:pPr>
          </w:p>
        </w:tc>
        <w:tc>
          <w:tcPr>
            <w:tcW w:type="dxa" w:w="1928"/>
          </w:tcPr>
          <w:p>
            <w:pPr>
              <w:spacing w:after="20"/>
            </w:pPr>
            <w:r>
              <w:rPr>
                <w:rFonts w:ascii="Aptos" w:hAnsi="Aptos" w:cs="Aptos" w:eastAsia="Aptos"/>
                <w:b/>
                <w:i w:val="0"/>
                <w:color w:val="8C5A2B"/>
                <w:sz w:val="18"/>
              </w:rPr>
              <w:t>Datum der Prüfung</w:t>
            </w:r>
          </w:p>
        </w:tc>
        <w:tc>
          <w:tcPr>
            <w:tcW w:type="dxa" w:w="2948"/>
            <w:tcBorders>
              <w:bottom w:val="single" w:sz="6" w:space="0" w:color="C9BBA6"/>
            </w:tcBorders>
          </w:tcPr>
          <w:p>
            <w:pPr>
              <w:spacing w:after="20"/>
            </w:pPr>
          </w:p>
        </w:tc>
      </w:tr>
    </w:tbl>
    <w:p>
      <w:pPr>
        <w:spacing w:after="0"/>
      </w:pPr>
    </w:p>
    <w:p>
      <w:pPr>
        <w:spacing w:after="40"/>
      </w:pPr>
      <w:r>
        <w:rPr>
          <w:rFonts w:ascii="Aptos" w:hAnsi="Aptos" w:cs="Aptos" w:eastAsia="Aptos"/>
          <w:b/>
          <w:i w:val="0"/>
          <w:color w:val="8C5A2B"/>
          <w:sz w:val="19"/>
        </w:rPr>
        <w:t>Land dieses Blattes:   ☐ Deutschland     ☐ Österreich     ☐ Schweiz</w:t>
      </w:r>
    </w:p>
    <w:p>
      <w:pPr>
        <w:keepNext/>
        <w:pageBreakBefore w:val="0"/>
        <w:spacing w:before="280" w:after="80"/>
        <w:pBdr>
          <w:bottom w:val="single" w:sz="6" w:space="2" w:color="C9BBA6"/>
        </w:pBdr>
      </w:pPr>
      <w:r>
        <w:rPr>
          <w:rFonts w:ascii="Aptos" w:hAnsi="Aptos" w:cs="Aptos" w:eastAsia="Aptos"/>
          <w:b/>
          <w:color w:val="8C5A2B"/>
          <w:sz w:val="28"/>
        </w:rPr>
        <w:t>1   Drei Prüfungen von je zehn Minuten</w:t>
      </w:r>
    </w:p>
    <w:tbl>
      <w:tblPr>
        <w:jc w:val="center"/>
        <w:tblLook w:firstColumn="1" w:firstRow="1" w:lastColumn="0" w:lastRow="0" w:noHBand="0" w:noVBand="1" w:val="04A0"/>
        <w:tblW w:w="14798" w:type="dxa"/>
        <w:tblLayout w:type="fixed"/>
      </w:tblPr>
      <w:tblGrid>
        <w:gridCol w:w="5953"/>
        <w:gridCol w:w="2041"/>
        <w:gridCol w:w="6804"/>
      </w:tblGrid>
      <w:tr>
        <w:trPr>
          <w:tblHeader w:val="true"/>
        </w:trPr>
        <w:tc>
          <w:tcPr>
            <w:tcW w:type="dxa" w:w="5953"/>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Prüfung</w:t>
            </w:r>
          </w:p>
        </w:tc>
        <w:tc>
          <w:tcPr>
            <w:tcW w:type="dxa" w:w="204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Antwort</w:t>
            </w:r>
          </w:p>
        </w:tc>
        <w:tc>
          <w:tcPr>
            <w:tcW w:type="dxa" w:w="6803"/>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Befund / Beleg</w:t>
            </w:r>
          </w:p>
        </w:tc>
      </w:tr>
      <w:tr>
        <w:trPr>
          <w:cantSplit w:val="true"/>
          <w:trHeight w:val="368" w:hRule="atLeast"/>
        </w:trPr>
        <w:tc>
          <w:tcPr>
            <w:tcW w:type="dxa" w:w="5953"/>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Enthält das Verzeichnis eine Spalte mit dem betroffenen Prozess?</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680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68" w:hRule="atLeast"/>
        </w:trPr>
        <w:tc>
          <w:tcPr>
            <w:tcW w:type="dxa" w:w="5953"/>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Steht bei jeder Pflicht ein Name?</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680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68" w:hRule="atLeast"/>
        </w:trPr>
        <w:tc>
          <w:tcPr>
            <w:tcW w:type="dxa" w:w="5953"/>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Gibt es ein datiertes Ergebnis einer Bewertung der Einhaltung?</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6803"/>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r>
        <w:rPr>
          <w:rFonts w:ascii="Aptos" w:hAnsi="Aptos" w:cs="Aptos" w:eastAsia="Aptos"/>
          <w:b w:val="0"/>
          <w:i/>
          <w:color w:val="7A6A55"/>
          <w:sz w:val="17"/>
        </w:rPr>
        <w:t>Drei Nein bedeuten drei Befunde – alle ohne juristische Kenntnisse erhoben.</w:t>
      </w:r>
    </w:p>
    <w:p>
      <w:pPr>
        <w:keepNext/>
        <w:pageBreakBefore w:val="0"/>
        <w:spacing w:before="280" w:after="80"/>
        <w:pBdr>
          <w:bottom w:val="single" w:sz="6" w:space="2" w:color="C9BBA6"/>
        </w:pBdr>
      </w:pPr>
      <w:r>
        <w:rPr>
          <w:rFonts w:ascii="Aptos" w:hAnsi="Aptos" w:cs="Aptos" w:eastAsia="Aptos"/>
          <w:b/>
          <w:color w:val="8C5A2B"/>
          <w:sz w:val="28"/>
        </w:rPr>
        <w:t>2   Die Kette der fünf Glieder</w:t>
      </w:r>
    </w:p>
    <w:p>
      <w:pPr>
        <w:spacing w:after="80"/>
        <w:jc w:val="both"/>
      </w:pPr>
      <w:r>
        <w:rPr>
          <w:rFonts w:ascii="Aptos" w:hAnsi="Aptos" w:cs="Aptos" w:eastAsia="Aptos"/>
          <w:b w:val="0"/>
          <w:i w:val="0"/>
          <w:sz w:val="19"/>
        </w:rPr>
        <w:t>Fehlt ein Glied, ist die Kette offen. Das Verzeichnis ist das einfachste Glied und das einzige, das man kaufen kann; die Glieder drei bis fünf bestehen aus Zuordnung, Gespräch und Wiederholung.</w:t>
      </w:r>
    </w:p>
    <w:tbl>
      <w:tblPr>
        <w:jc w:val="center"/>
        <w:tblLook w:firstColumn="1" w:firstRow="1" w:lastColumn="0" w:lastRow="0" w:noHBand="0" w:noVBand="1" w:val="04A0"/>
        <w:tblW w:w="14798" w:type="dxa"/>
        <w:tblLayout w:type="fixed"/>
      </w:tblPr>
      <w:tblGrid>
        <w:gridCol w:w="2041"/>
        <w:gridCol w:w="3175"/>
        <w:gridCol w:w="3175"/>
        <w:gridCol w:w="2494"/>
        <w:gridCol w:w="1984"/>
        <w:gridCol w:w="1927"/>
      </w:tblGrid>
      <w:tr>
        <w:trPr>
          <w:tblHeader w:val="true"/>
        </w:trPr>
        <w:tc>
          <w:tcPr>
            <w:tcW w:type="dxa" w:w="204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Glied</w:t>
            </w:r>
          </w:p>
        </w:tc>
        <w:tc>
          <w:tcPr>
            <w:tcW w:type="dxa" w:w="317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Die Frage (Buch)</w:t>
            </w:r>
          </w:p>
        </w:tc>
        <w:tc>
          <w:tcPr>
            <w:tcW w:type="dxa" w:w="317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Der Nachweis (Buch)</w:t>
            </w:r>
          </w:p>
        </w:tc>
        <w:tc>
          <w:tcPr>
            <w:tcW w:type="dxa" w:w="249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Befund</w:t>
            </w:r>
          </w:p>
        </w:tc>
        <w:tc>
          <w:tcPr>
            <w:tcW w:type="dxa" w:w="198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Beleg</w:t>
            </w:r>
          </w:p>
        </w:tc>
        <w:tc>
          <w:tcPr>
            <w:tcW w:type="dxa" w:w="192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Stand</w:t>
            </w:r>
          </w:p>
        </w:tc>
      </w:tr>
      <w:tr>
        <w:trPr>
          <w:cantSplit w:val="true"/>
          <w:trHeight w:val="595" w:hRule="atLeast"/>
        </w:trPr>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1 Verzeichnis</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Gibt es eine Übersicht der geltenden Anforderungen?</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Das Verzeichnis selbst, mit Datum der letzten Änderung</w:t>
            </w:r>
          </w:p>
        </w:tc>
        <w:tc>
          <w:tcPr>
            <w:tcW w:type="dxa" w:w="249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8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p>
            <w:pPr>
              <w:spacing w:after="20" w:line="252" w:lineRule="auto"/>
            </w:pPr>
            <w:r>
              <w:rPr>
                <w:rFonts w:ascii="Aptos" w:hAnsi="Aptos" w:cs="Aptos" w:eastAsia="Aptos"/>
                <w:b w:val="0"/>
                <w:i w:val="0"/>
                <w:sz w:val="17"/>
              </w:rPr>
              <w:t>☐ fehlt</w:t>
            </w:r>
          </w:p>
        </w:tc>
      </w:tr>
      <w:tr>
        <w:trPr>
          <w:cantSplit w:val="true"/>
          <w:trHeight w:val="595" w:hRule="atLeast"/>
        </w:trPr>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2 Bezug zur Tätigkeit</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Steht neben jeder Anforderung, welchen Prozess sie betrifft?</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Spalte „betrifft" im Verzeichnis</w:t>
            </w:r>
          </w:p>
        </w:tc>
        <w:tc>
          <w:tcPr>
            <w:tcW w:type="dxa" w:w="249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8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p>
            <w:pPr>
              <w:spacing w:after="20" w:line="252" w:lineRule="auto"/>
            </w:pPr>
            <w:r>
              <w:rPr>
                <w:rFonts w:ascii="Aptos" w:hAnsi="Aptos" w:cs="Aptos" w:eastAsia="Aptos"/>
                <w:b w:val="0"/>
                <w:i w:val="0"/>
                <w:sz w:val="17"/>
              </w:rPr>
              <w:t>☐ fehlt</w:t>
            </w:r>
          </w:p>
        </w:tc>
      </w:tr>
      <w:tr>
        <w:trPr>
          <w:cantSplit w:val="true"/>
          <w:trHeight w:val="595" w:hRule="atLeast"/>
        </w:trPr>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3 Aktualisierung</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Woher erfährt das Haus von Änderungen, und wer wertet sie aus?</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Änderungsdienst, Verbandsinformation, Protokoll der Auswertung</w:t>
            </w:r>
          </w:p>
        </w:tc>
        <w:tc>
          <w:tcPr>
            <w:tcW w:type="dxa" w:w="249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8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p>
            <w:pPr>
              <w:spacing w:after="20" w:line="252" w:lineRule="auto"/>
            </w:pPr>
            <w:r>
              <w:rPr>
                <w:rFonts w:ascii="Aptos" w:hAnsi="Aptos" w:cs="Aptos" w:eastAsia="Aptos"/>
                <w:b w:val="0"/>
                <w:i w:val="0"/>
                <w:sz w:val="17"/>
              </w:rPr>
              <w:t>☐ fehlt</w:t>
            </w:r>
          </w:p>
        </w:tc>
      </w:tr>
      <w:tr>
        <w:trPr>
          <w:cantSplit w:val="true"/>
          <w:trHeight w:val="595" w:hRule="atLeast"/>
        </w:trPr>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4 Zuordnung</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Wer im Haus ist für welche Pflicht zuständig – und weiß er es?</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Pflichtenübertragung schriftlich, Gespräch mit der benannten Person</w:t>
            </w:r>
          </w:p>
        </w:tc>
        <w:tc>
          <w:tcPr>
            <w:tcW w:type="dxa" w:w="249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8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p>
            <w:pPr>
              <w:spacing w:after="20" w:line="252" w:lineRule="auto"/>
            </w:pPr>
            <w:r>
              <w:rPr>
                <w:rFonts w:ascii="Aptos" w:hAnsi="Aptos" w:cs="Aptos" w:eastAsia="Aptos"/>
                <w:b w:val="0"/>
                <w:i w:val="0"/>
                <w:sz w:val="17"/>
              </w:rPr>
              <w:t>☐ fehlt</w:t>
            </w:r>
          </w:p>
        </w:tc>
      </w:tr>
      <w:tr>
        <w:trPr>
          <w:cantSplit w:val="true"/>
          <w:trHeight w:val="595" w:hRule="atLeast"/>
        </w:trPr>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5 Bewertung der Einhaltung</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Wird regelmäßig geprüft, ob eingehalten wird, und wie?</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Bewertung mit Datum, Ergebnis und Folgemaßnahmen</w:t>
            </w:r>
          </w:p>
        </w:tc>
        <w:tc>
          <w:tcPr>
            <w:tcW w:type="dxa" w:w="249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8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p>
            <w:pPr>
              <w:spacing w:after="20" w:line="252" w:lineRule="auto"/>
            </w:pPr>
            <w:r>
              <w:rPr>
                <w:rFonts w:ascii="Aptos" w:hAnsi="Aptos" w:cs="Aptos" w:eastAsia="Aptos"/>
                <w:b w:val="0"/>
                <w:i w:val="0"/>
                <w:sz w:val="17"/>
              </w:rPr>
              <w:t>☐ fehlt</w:t>
            </w:r>
          </w:p>
        </w:tc>
      </w:tr>
    </w:tbl>
    <w:p>
      <w:pPr>
        <w:keepNext/>
        <w:pageBreakBefore w:val="0"/>
        <w:spacing w:before="280" w:after="80"/>
        <w:pBdr>
          <w:bottom w:val="single" w:sz="6" w:space="2" w:color="C9BBA6"/>
        </w:pBdr>
      </w:pPr>
      <w:r>
        <w:rPr>
          <w:rFonts w:ascii="Aptos" w:hAnsi="Aptos" w:cs="Aptos" w:eastAsia="Aptos"/>
          <w:b/>
          <w:color w:val="8C5A2B"/>
          <w:sz w:val="28"/>
        </w:rPr>
        <w:t>3   Stichprobe im Verzeichnis</w:t>
      </w:r>
    </w:p>
    <w:p>
      <w:pPr>
        <w:spacing w:after="80"/>
        <w:jc w:val="both"/>
      </w:pPr>
      <w:r>
        <w:rPr>
          <w:rFonts w:ascii="Aptos" w:hAnsi="Aptos" w:cs="Aptos" w:eastAsia="Aptos"/>
          <w:b w:val="0"/>
          <w:i w:val="0"/>
          <w:sz w:val="19"/>
        </w:rPr>
        <w:t>Das Buch nennt als Struktur sechs Spalten: Anforderung, Fundstelle, betroffener Prozess, zuständige Person, Nachweis, letzte Prüfung. Ziehen Sie eine Stichprobe und prüfen Sie jede Spalte. Ob eine Fundstelle inhaltlich zutrifft, beurteilen Sie nicht – dann lautet der Vermerk „keine fachliche Bewertung".</w:t>
      </w:r>
    </w:p>
    <w:tbl>
      <w:tblPr>
        <w:jc w:val="center"/>
        <w:tblLook w:firstColumn="1" w:firstRow="1" w:lastColumn="0" w:lastRow="0" w:noHBand="0" w:noVBand="1" w:val="04A0"/>
        <w:tblW w:w="14798" w:type="dxa"/>
        <w:tblLayout w:type="fixed"/>
      </w:tblPr>
      <w:tblGrid>
        <w:gridCol w:w="510"/>
        <w:gridCol w:w="2948"/>
        <w:gridCol w:w="2608"/>
        <w:gridCol w:w="1474"/>
        <w:gridCol w:w="2041"/>
        <w:gridCol w:w="1304"/>
        <w:gridCol w:w="1304"/>
        <w:gridCol w:w="2608"/>
      </w:tblGrid>
      <w:tr>
        <w:trPr>
          <w:tblHeader w:val="true"/>
        </w:trPr>
        <w:tc>
          <w:tcPr>
            <w:tcW w:type="dxa" w:w="510"/>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Nr.</w:t>
            </w:r>
          </w:p>
        </w:tc>
        <w:tc>
          <w:tcPr>
            <w:tcW w:type="dxa" w:w="294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Anforderung (Stichprobe)</w:t>
            </w:r>
          </w:p>
        </w:tc>
        <w:tc>
          <w:tcPr>
            <w:tcW w:type="dxa" w:w="260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Fundstelle</w:t>
            </w:r>
          </w:p>
        </w:tc>
        <w:tc>
          <w:tcPr>
            <w:tcW w:type="dxa" w:w="147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Prozess zugeordnet?</w:t>
            </w:r>
          </w:p>
        </w:tc>
        <w:tc>
          <w:tcPr>
            <w:tcW w:type="dxa" w:w="204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Zuständige Person</w:t>
            </w:r>
          </w:p>
        </w:tc>
        <w:tc>
          <w:tcPr>
            <w:tcW w:type="dxa" w:w="130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Nachweis</w:t>
            </w:r>
          </w:p>
        </w:tc>
        <w:tc>
          <w:tcPr>
            <w:tcW w:type="dxa" w:w="130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Letzte Prüfung</w:t>
            </w:r>
          </w:p>
        </w:tc>
        <w:tc>
          <w:tcPr>
            <w:tcW w:type="dxa" w:w="260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Befund</w:t>
            </w:r>
          </w:p>
        </w:tc>
      </w:tr>
      <w:tr>
        <w:trPr>
          <w:cantSplit w:val="true"/>
          <w:trHeight w:val="510"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w:t>
            </w:r>
          </w:p>
        </w:tc>
        <w:tc>
          <w:tcPr>
            <w:tcW w:type="dxa" w:w="294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gilt hier  ☐ gilt nicht</w:t>
            </w:r>
          </w:p>
          <w:p>
            <w:pPr>
              <w:spacing w:after="20" w:line="252" w:lineRule="auto"/>
            </w:pPr>
            <w:r>
              <w:rPr>
                <w:rFonts w:ascii="Aptos" w:hAnsi="Aptos" w:cs="Aptos" w:eastAsia="Aptos"/>
                <w:b w:val="0"/>
                <w:i w:val="0"/>
                <w:sz w:val="17"/>
              </w:rPr>
              <w:t>☐ keine fachl. Bewertung</w:t>
            </w:r>
          </w:p>
        </w:tc>
        <w:tc>
          <w:tcPr>
            <w:tcW w:type="dxa" w:w="147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im Gespräch</w:t>
            </w:r>
          </w:p>
          <w:p>
            <w:pPr>
              <w:spacing w:after="20" w:line="252" w:lineRule="auto"/>
            </w:pPr>
            <w:r>
              <w:rPr>
                <w:rFonts w:ascii="Aptos" w:hAnsi="Aptos" w:cs="Aptos" w:eastAsia="Aptos"/>
                <w:b w:val="0"/>
                <w:i w:val="0"/>
                <w:sz w:val="17"/>
              </w:rPr>
              <w:t>bestätigt ☐ nein</w:t>
            </w:r>
          </w:p>
        </w:tc>
        <w:tc>
          <w:tcPr>
            <w:tcW w:type="dxa" w:w="130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auffindbar</w:t>
            </w:r>
          </w:p>
          <w:p>
            <w:pPr>
              <w:spacing w:after="20" w:line="252" w:lineRule="auto"/>
            </w:pPr>
            <w:r>
              <w:rPr>
                <w:rFonts w:ascii="Aptos" w:hAnsi="Aptos" w:cs="Aptos" w:eastAsia="Aptos"/>
                <w:b w:val="0"/>
                <w:i w:val="0"/>
                <w:sz w:val="17"/>
              </w:rPr>
              <w:t>☐ nicht</w:t>
            </w:r>
          </w:p>
        </w:tc>
        <w:tc>
          <w:tcPr>
            <w:tcW w:type="dxa" w:w="130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datiert</w:t>
            </w:r>
          </w:p>
          <w:p>
            <w:pPr>
              <w:spacing w:after="20" w:line="252" w:lineRule="auto"/>
            </w:pPr>
            <w:r>
              <w:rPr>
                <w:rFonts w:ascii="Aptos" w:hAnsi="Aptos" w:cs="Aptos" w:eastAsia="Aptos"/>
                <w:b w:val="0"/>
                <w:i w:val="0"/>
                <w:sz w:val="17"/>
              </w:rPr>
              <w:t>☐ nicht</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510"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2</w:t>
            </w:r>
          </w:p>
        </w:tc>
        <w:tc>
          <w:tcPr>
            <w:tcW w:type="dxa" w:w="294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gilt hier  ☐ gilt nicht</w:t>
            </w:r>
          </w:p>
          <w:p>
            <w:pPr>
              <w:spacing w:after="20" w:line="252" w:lineRule="auto"/>
            </w:pPr>
            <w:r>
              <w:rPr>
                <w:rFonts w:ascii="Aptos" w:hAnsi="Aptos" w:cs="Aptos" w:eastAsia="Aptos"/>
                <w:b w:val="0"/>
                <w:i w:val="0"/>
                <w:sz w:val="17"/>
              </w:rPr>
              <w:t>☐ keine fachl. Bewertung</w:t>
            </w:r>
          </w:p>
        </w:tc>
        <w:tc>
          <w:tcPr>
            <w:tcW w:type="dxa" w:w="147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im Gespräch</w:t>
            </w:r>
          </w:p>
          <w:p>
            <w:pPr>
              <w:spacing w:after="20" w:line="252" w:lineRule="auto"/>
            </w:pPr>
            <w:r>
              <w:rPr>
                <w:rFonts w:ascii="Aptos" w:hAnsi="Aptos" w:cs="Aptos" w:eastAsia="Aptos"/>
                <w:b w:val="0"/>
                <w:i w:val="0"/>
                <w:sz w:val="17"/>
              </w:rPr>
              <w:t>bestätigt ☐ nein</w:t>
            </w:r>
          </w:p>
        </w:tc>
        <w:tc>
          <w:tcPr>
            <w:tcW w:type="dxa" w:w="130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auffindbar</w:t>
            </w:r>
          </w:p>
          <w:p>
            <w:pPr>
              <w:spacing w:after="20" w:line="252" w:lineRule="auto"/>
            </w:pPr>
            <w:r>
              <w:rPr>
                <w:rFonts w:ascii="Aptos" w:hAnsi="Aptos" w:cs="Aptos" w:eastAsia="Aptos"/>
                <w:b w:val="0"/>
                <w:i w:val="0"/>
                <w:sz w:val="17"/>
              </w:rPr>
              <w:t>☐ nicht</w:t>
            </w:r>
          </w:p>
        </w:tc>
        <w:tc>
          <w:tcPr>
            <w:tcW w:type="dxa" w:w="130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datiert</w:t>
            </w:r>
          </w:p>
          <w:p>
            <w:pPr>
              <w:spacing w:after="20" w:line="252" w:lineRule="auto"/>
            </w:pPr>
            <w:r>
              <w:rPr>
                <w:rFonts w:ascii="Aptos" w:hAnsi="Aptos" w:cs="Aptos" w:eastAsia="Aptos"/>
                <w:b w:val="0"/>
                <w:i w:val="0"/>
                <w:sz w:val="17"/>
              </w:rPr>
              <w:t>☐ nicht</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510"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3</w:t>
            </w:r>
          </w:p>
        </w:tc>
        <w:tc>
          <w:tcPr>
            <w:tcW w:type="dxa" w:w="294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gilt hier  ☐ gilt nicht</w:t>
            </w:r>
          </w:p>
          <w:p>
            <w:pPr>
              <w:spacing w:after="20" w:line="252" w:lineRule="auto"/>
            </w:pPr>
            <w:r>
              <w:rPr>
                <w:rFonts w:ascii="Aptos" w:hAnsi="Aptos" w:cs="Aptos" w:eastAsia="Aptos"/>
                <w:b w:val="0"/>
                <w:i w:val="0"/>
                <w:sz w:val="17"/>
              </w:rPr>
              <w:t>☐ keine fachl. Bewertung</w:t>
            </w:r>
          </w:p>
        </w:tc>
        <w:tc>
          <w:tcPr>
            <w:tcW w:type="dxa" w:w="147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im Gespräch</w:t>
            </w:r>
          </w:p>
          <w:p>
            <w:pPr>
              <w:spacing w:after="20" w:line="252" w:lineRule="auto"/>
            </w:pPr>
            <w:r>
              <w:rPr>
                <w:rFonts w:ascii="Aptos" w:hAnsi="Aptos" w:cs="Aptos" w:eastAsia="Aptos"/>
                <w:b w:val="0"/>
                <w:i w:val="0"/>
                <w:sz w:val="17"/>
              </w:rPr>
              <w:t>bestätigt ☐ nein</w:t>
            </w:r>
          </w:p>
        </w:tc>
        <w:tc>
          <w:tcPr>
            <w:tcW w:type="dxa" w:w="130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auffindbar</w:t>
            </w:r>
          </w:p>
          <w:p>
            <w:pPr>
              <w:spacing w:after="20" w:line="252" w:lineRule="auto"/>
            </w:pPr>
            <w:r>
              <w:rPr>
                <w:rFonts w:ascii="Aptos" w:hAnsi="Aptos" w:cs="Aptos" w:eastAsia="Aptos"/>
                <w:b w:val="0"/>
                <w:i w:val="0"/>
                <w:sz w:val="17"/>
              </w:rPr>
              <w:t>☐ nicht</w:t>
            </w:r>
          </w:p>
        </w:tc>
        <w:tc>
          <w:tcPr>
            <w:tcW w:type="dxa" w:w="130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datiert</w:t>
            </w:r>
          </w:p>
          <w:p>
            <w:pPr>
              <w:spacing w:after="20" w:line="252" w:lineRule="auto"/>
            </w:pPr>
            <w:r>
              <w:rPr>
                <w:rFonts w:ascii="Aptos" w:hAnsi="Aptos" w:cs="Aptos" w:eastAsia="Aptos"/>
                <w:b w:val="0"/>
                <w:i w:val="0"/>
                <w:sz w:val="17"/>
              </w:rPr>
              <w:t>☐ nicht</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510"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4</w:t>
            </w:r>
          </w:p>
        </w:tc>
        <w:tc>
          <w:tcPr>
            <w:tcW w:type="dxa" w:w="294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gilt hier  ☐ gilt nicht</w:t>
            </w:r>
          </w:p>
          <w:p>
            <w:pPr>
              <w:spacing w:after="20" w:line="252" w:lineRule="auto"/>
            </w:pPr>
            <w:r>
              <w:rPr>
                <w:rFonts w:ascii="Aptos" w:hAnsi="Aptos" w:cs="Aptos" w:eastAsia="Aptos"/>
                <w:b w:val="0"/>
                <w:i w:val="0"/>
                <w:sz w:val="17"/>
              </w:rPr>
              <w:t>☐ keine fachl. Bewertung</w:t>
            </w:r>
          </w:p>
        </w:tc>
        <w:tc>
          <w:tcPr>
            <w:tcW w:type="dxa" w:w="147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im Gespräch</w:t>
            </w:r>
          </w:p>
          <w:p>
            <w:pPr>
              <w:spacing w:after="20" w:line="252" w:lineRule="auto"/>
            </w:pPr>
            <w:r>
              <w:rPr>
                <w:rFonts w:ascii="Aptos" w:hAnsi="Aptos" w:cs="Aptos" w:eastAsia="Aptos"/>
                <w:b w:val="0"/>
                <w:i w:val="0"/>
                <w:sz w:val="17"/>
              </w:rPr>
              <w:t>bestätigt ☐ nein</w:t>
            </w:r>
          </w:p>
        </w:tc>
        <w:tc>
          <w:tcPr>
            <w:tcW w:type="dxa" w:w="130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auffindbar</w:t>
            </w:r>
          </w:p>
          <w:p>
            <w:pPr>
              <w:spacing w:after="20" w:line="252" w:lineRule="auto"/>
            </w:pPr>
            <w:r>
              <w:rPr>
                <w:rFonts w:ascii="Aptos" w:hAnsi="Aptos" w:cs="Aptos" w:eastAsia="Aptos"/>
                <w:b w:val="0"/>
                <w:i w:val="0"/>
                <w:sz w:val="17"/>
              </w:rPr>
              <w:t>☐ nicht</w:t>
            </w:r>
          </w:p>
        </w:tc>
        <w:tc>
          <w:tcPr>
            <w:tcW w:type="dxa" w:w="130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datiert</w:t>
            </w:r>
          </w:p>
          <w:p>
            <w:pPr>
              <w:spacing w:after="20" w:line="252" w:lineRule="auto"/>
            </w:pPr>
            <w:r>
              <w:rPr>
                <w:rFonts w:ascii="Aptos" w:hAnsi="Aptos" w:cs="Aptos" w:eastAsia="Aptos"/>
                <w:b w:val="0"/>
                <w:i w:val="0"/>
                <w:sz w:val="17"/>
              </w:rPr>
              <w:t>☐ nicht</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510" w:hRule="atLeast"/>
        </w:trPr>
        <w:tc>
          <w:tcPr>
            <w:tcW w:type="dxa" w:w="510"/>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5</w:t>
            </w:r>
          </w:p>
        </w:tc>
        <w:tc>
          <w:tcPr>
            <w:tcW w:type="dxa" w:w="294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gilt hier  ☐ gilt nicht</w:t>
            </w:r>
          </w:p>
          <w:p>
            <w:pPr>
              <w:spacing w:after="20" w:line="252" w:lineRule="auto"/>
            </w:pPr>
            <w:r>
              <w:rPr>
                <w:rFonts w:ascii="Aptos" w:hAnsi="Aptos" w:cs="Aptos" w:eastAsia="Aptos"/>
                <w:b w:val="0"/>
                <w:i w:val="0"/>
                <w:sz w:val="17"/>
              </w:rPr>
              <w:t>☐ keine fachl. Bewertung</w:t>
            </w:r>
          </w:p>
        </w:tc>
        <w:tc>
          <w:tcPr>
            <w:tcW w:type="dxa" w:w="147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204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im Gespräch</w:t>
            </w:r>
          </w:p>
          <w:p>
            <w:pPr>
              <w:spacing w:after="20" w:line="252" w:lineRule="auto"/>
            </w:pPr>
            <w:r>
              <w:rPr>
                <w:rFonts w:ascii="Aptos" w:hAnsi="Aptos" w:cs="Aptos" w:eastAsia="Aptos"/>
                <w:b w:val="0"/>
                <w:i w:val="0"/>
                <w:sz w:val="17"/>
              </w:rPr>
              <w:t>bestätigt ☐ nein</w:t>
            </w:r>
          </w:p>
        </w:tc>
        <w:tc>
          <w:tcPr>
            <w:tcW w:type="dxa" w:w="130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auffindbar</w:t>
            </w:r>
          </w:p>
          <w:p>
            <w:pPr>
              <w:spacing w:after="20" w:line="252" w:lineRule="auto"/>
            </w:pPr>
            <w:r>
              <w:rPr>
                <w:rFonts w:ascii="Aptos" w:hAnsi="Aptos" w:cs="Aptos" w:eastAsia="Aptos"/>
                <w:b w:val="0"/>
                <w:i w:val="0"/>
                <w:sz w:val="17"/>
              </w:rPr>
              <w:t>☐ nicht</w:t>
            </w:r>
          </w:p>
        </w:tc>
        <w:tc>
          <w:tcPr>
            <w:tcW w:type="dxa" w:w="130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datiert</w:t>
            </w:r>
          </w:p>
          <w:p>
            <w:pPr>
              <w:spacing w:after="20" w:line="252" w:lineRule="auto"/>
            </w:pPr>
            <w:r>
              <w:rPr>
                <w:rFonts w:ascii="Aptos" w:hAnsi="Aptos" w:cs="Aptos" w:eastAsia="Aptos"/>
                <w:b w:val="0"/>
                <w:i w:val="0"/>
                <w:sz w:val="17"/>
              </w:rPr>
              <w:t>☐ nicht</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tbl>
      <w:tblPr>
        <w:jc w:val="center"/>
        <w:tblLook w:firstColumn="1" w:firstRow="1" w:lastColumn="0" w:lastRow="0" w:noHBand="0" w:noVBand="1" w:val="04A0"/>
        <w:tblW w:w="14798" w:type="dxa"/>
        <w:tblLayout w:type="fixed"/>
      </w:tblPr>
      <w:tblGrid>
        <w:gridCol w:w="10773"/>
        <w:gridCol w:w="4025"/>
      </w:tblGrid>
      <w:tr>
        <w:trPr>
          <w:tblHeader w:val="true"/>
        </w:trPr>
        <w:tc>
          <w:tcPr>
            <w:tcW w:type="dxa" w:w="10772"/>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Kennzahl (zu überwachen)</w:t>
            </w:r>
          </w:p>
        </w:tc>
        <w:tc>
          <w:tcPr>
            <w:tcW w:type="dxa" w:w="402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Ergebnis</w:t>
            </w:r>
          </w:p>
        </w:tc>
      </w:tr>
      <w:tr>
        <w:trPr>
          <w:cantSplit w:val="true"/>
          <w:trHeight w:val="340" w:hRule="atLeast"/>
        </w:trPr>
        <w:tc>
          <w:tcPr>
            <w:tcW w:type="dxa" w:w="1077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Einträge im Verzeichnis insgesamt / davon ohne Prozessbezug</w:t>
            </w:r>
          </w:p>
        </w:tc>
        <w:tc>
          <w:tcPr>
            <w:tcW w:type="dxa" w:w="402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xml:space="preserve">            /            </w:t>
            </w:r>
          </w:p>
        </w:tc>
      </w:tr>
      <w:tr>
        <w:trPr>
          <w:cantSplit w:val="true"/>
          <w:trHeight w:val="340" w:hRule="atLeast"/>
        </w:trPr>
        <w:tc>
          <w:tcPr>
            <w:tcW w:type="dxa" w:w="1077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Einträge ohne benannte zuständige Person (sollte null sein)</w:t>
            </w:r>
          </w:p>
        </w:tc>
        <w:tc>
          <w:tcPr>
            <w:tcW w:type="dxa" w:w="402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40" w:hRule="atLeast"/>
        </w:trPr>
        <w:tc>
          <w:tcPr>
            <w:tcW w:type="dxa" w:w="1077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Im Jahr tatsächlich eingearbeitete Änderungen (eine Null bedeutet nicht, dass sich nichts geändert hat)</w:t>
            </w:r>
          </w:p>
        </w:tc>
        <w:tc>
          <w:tcPr>
            <w:tcW w:type="dxa" w:w="402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pPr>
        <w:keepNext/>
        <w:pageBreakBefore w:val="0"/>
        <w:spacing w:before="280" w:after="80"/>
        <w:pBdr>
          <w:bottom w:val="single" w:sz="6" w:space="2" w:color="C9BBA6"/>
        </w:pBdr>
      </w:pPr>
      <w:r>
        <w:rPr>
          <w:rFonts w:ascii="Aptos" w:hAnsi="Aptos" w:cs="Aptos" w:eastAsia="Aptos"/>
          <w:b/>
          <w:color w:val="8C5A2B"/>
          <w:sz w:val="28"/>
        </w:rPr>
        <w:t>4   Woher die Anforderungen stammen: die Quellen des Landes</w:t>
      </w:r>
    </w:p>
    <w:p>
      <w:pPr>
        <w:spacing w:after="80"/>
        <w:jc w:val="both"/>
      </w:pPr>
      <w:r>
        <w:rPr>
          <w:rFonts w:ascii="Aptos" w:hAnsi="Aptos" w:cs="Aptos" w:eastAsia="Aptos"/>
          <w:b w:val="0"/>
          <w:i w:val="0"/>
          <w:sz w:val="19"/>
        </w:rPr>
        <w:t>Prüfen Sie, ob das Verzeichnis aus den Quellen des Landes erhoben wurde, in dem das Haus liegt. Für ein Hotel ist die branchenbezogene Aufbereitung der Träger und Verbände fast immer brauchbarer als die Rechtsquelle selbst. Der Änderungsdienst ist in allen drei Ländern kostenlos und branchenbezogen.</w:t>
      </w:r>
    </w:p>
    <w:tbl>
      <w:tblPr>
        <w:jc w:val="center"/>
        <w:tblLook w:firstColumn="1" w:firstRow="1" w:lastColumn="0" w:lastRow="0" w:noHBand="0" w:noVBand="1" w:val="04A0"/>
        <w:tblW w:w="14798" w:type="dxa"/>
        <w:tblLayout w:type="fixed"/>
      </w:tblPr>
      <w:tblGrid>
        <w:gridCol w:w="2381"/>
        <w:gridCol w:w="3402"/>
        <w:gridCol w:w="3175"/>
        <w:gridCol w:w="3175"/>
        <w:gridCol w:w="2664"/>
      </w:tblGrid>
      <w:tr>
        <w:trPr>
          <w:tblHeader w:val="true"/>
        </w:trPr>
        <w:tc>
          <w:tcPr>
            <w:tcW w:type="dxa" w:w="238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Ebene</w:t>
            </w:r>
          </w:p>
        </w:tc>
        <w:tc>
          <w:tcPr>
            <w:tcW w:type="dxa" w:w="3402"/>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Deutschland</w:t>
            </w:r>
          </w:p>
        </w:tc>
        <w:tc>
          <w:tcPr>
            <w:tcW w:type="dxa" w:w="317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Österreich</w:t>
            </w:r>
          </w:p>
        </w:tc>
        <w:tc>
          <w:tcPr>
            <w:tcW w:type="dxa" w:w="317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Schweiz</w:t>
            </w:r>
          </w:p>
        </w:tc>
        <w:tc>
          <w:tcPr>
            <w:tcW w:type="dxa" w:w="266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Im Verzeichnis dieses Landes berücksichtigt?</w:t>
            </w:r>
          </w:p>
        </w:tc>
      </w:tr>
      <w:tr>
        <w:trPr>
          <w:cantSplit w:val="true"/>
          <w:trHeight w:val="453" w:hRule="atLeast"/>
        </w:trP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Grundgesetzgebung Arbeitsschutz</w:t>
            </w:r>
          </w:p>
        </w:tc>
        <w:tc>
          <w:tcPr>
            <w:tcW w:type="dxa" w:w="340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ArbSchG, ArbStättV, BetrSichV, GefStoffV, LasthandhabV</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ASchG, AStV, AM-VO, GKV, VOLV</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ArG, ArGV 1–5, VUV, ChemV</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p>
            <w:pPr>
              <w:spacing w:after="20" w:line="252" w:lineRule="auto"/>
            </w:pPr>
            <w:r>
              <w:rPr>
                <w:rFonts w:ascii="Aptos" w:hAnsi="Aptos" w:cs="Aptos" w:eastAsia="Aptos"/>
                <w:b w:val="0"/>
                <w:i w:val="0"/>
                <w:sz w:val="17"/>
              </w:rPr>
              <w:t>☐ nicht bewertet</w:t>
            </w:r>
          </w:p>
        </w:tc>
      </w:tr>
      <w:tr>
        <w:trPr>
          <w:cantSplit w:val="true"/>
          <w:trHeight w:val="453" w:hRule="atLeast"/>
        </w:trP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Arbeitszeit und besondere Gruppen</w:t>
            </w:r>
          </w:p>
        </w:tc>
        <w:tc>
          <w:tcPr>
            <w:tcW w:type="dxa" w:w="340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ArbZG, JArbSchG, MuSchG</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AZG, ARG, KJBG, MSchG</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ArG, ArGV 1, ArGV 5</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p>
            <w:pPr>
              <w:spacing w:after="20" w:line="252" w:lineRule="auto"/>
            </w:pPr>
            <w:r>
              <w:rPr>
                <w:rFonts w:ascii="Aptos" w:hAnsi="Aptos" w:cs="Aptos" w:eastAsia="Aptos"/>
                <w:b w:val="0"/>
                <w:i w:val="0"/>
                <w:sz w:val="17"/>
              </w:rPr>
              <w:t>☐ nicht bewertet</w:t>
            </w:r>
          </w:p>
        </w:tc>
      </w:tr>
      <w:tr>
        <w:trPr>
          <w:cantSplit w:val="true"/>
          <w:trHeight w:val="453" w:hRule="atLeast"/>
        </w:trP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Unfallversicherung / Vorschriftenwerk</w:t>
            </w:r>
          </w:p>
        </w:tc>
        <w:tc>
          <w:tcPr>
            <w:tcW w:type="dxa" w:w="340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DGUV Vorschriften, Regeln und Informationen</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AUVA-Merkblätter, ÖNORMEN soweit verbindlich erklärt</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SUVA-Publikationen, EKAS-Richtlinien, Branchenlösung</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p>
            <w:pPr>
              <w:spacing w:after="20" w:line="252" w:lineRule="auto"/>
            </w:pPr>
            <w:r>
              <w:rPr>
                <w:rFonts w:ascii="Aptos" w:hAnsi="Aptos" w:cs="Aptos" w:eastAsia="Aptos"/>
                <w:b w:val="0"/>
                <w:i w:val="0"/>
                <w:sz w:val="17"/>
              </w:rPr>
              <w:t>☐ nicht bewertet</w:t>
            </w:r>
          </w:p>
        </w:tc>
      </w:tr>
      <w:tr>
        <w:trPr>
          <w:cantSplit w:val="true"/>
          <w:trHeight w:val="453" w:hRule="atLeast"/>
        </w:trP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Bau und Brandschutz im Beherbergungsbetrieb</w:t>
            </w:r>
          </w:p>
        </w:tc>
        <w:tc>
          <w:tcPr>
            <w:tcW w:type="dxa" w:w="340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Landesbauordnung, Beherbergungsstättenverordnung</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OIB-Richtlinien, Landesbauordnungen</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VKF-Brandschutzvorschriften</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p>
            <w:pPr>
              <w:spacing w:after="20" w:line="252" w:lineRule="auto"/>
            </w:pPr>
            <w:r>
              <w:rPr>
                <w:rFonts w:ascii="Aptos" w:hAnsi="Aptos" w:cs="Aptos" w:eastAsia="Aptos"/>
                <w:b w:val="0"/>
                <w:i w:val="0"/>
                <w:sz w:val="17"/>
              </w:rPr>
              <w:t>☐ nicht bewertet</w:t>
            </w:r>
          </w:p>
        </w:tc>
      </w:tr>
      <w:tr>
        <w:trPr>
          <w:cantSplit w:val="true"/>
          <w:trHeight w:val="453" w:hRule="atLeast"/>
        </w:trP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Aufsicht</w:t>
            </w:r>
          </w:p>
        </w:tc>
        <w:tc>
          <w:tcPr>
            <w:tcW w:type="dxa" w:w="340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Gewerbeaufsicht und Berufsgenossenschaft</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Arbeitsinspektorat, AUVA</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Kantonale Arbeitsinspektorate, zuständiger UVG-Versicherer</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p>
            <w:pPr>
              <w:spacing w:after="20" w:line="252" w:lineRule="auto"/>
            </w:pPr>
            <w:r>
              <w:rPr>
                <w:rFonts w:ascii="Aptos" w:hAnsi="Aptos" w:cs="Aptos" w:eastAsia="Aptos"/>
                <w:b w:val="0"/>
                <w:i w:val="0"/>
                <w:sz w:val="17"/>
              </w:rPr>
              <w:t>☐ nicht bewertet</w:t>
            </w:r>
          </w:p>
        </w:tc>
      </w:tr>
      <w:tr>
        <w:trPr>
          <w:cantSplit w:val="true"/>
          <w:trHeight w:val="453" w:hRule="atLeast"/>
        </w:trP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Änderungsdienst</w:t>
            </w:r>
          </w:p>
        </w:tc>
        <w:tc>
          <w:tcPr>
            <w:tcW w:type="dxa" w:w="340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Newsletter der Berufsgenossenschaft, DEHOGA-Information</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AUVA und WKO-Fachverband</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SUVA und Branchenlösung des Verbands</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p>
            <w:pPr>
              <w:spacing w:after="20" w:line="252" w:lineRule="auto"/>
            </w:pPr>
            <w:r>
              <w:rPr>
                <w:rFonts w:ascii="Aptos" w:hAnsi="Aptos" w:cs="Aptos" w:eastAsia="Aptos"/>
                <w:b w:val="0"/>
                <w:i w:val="0"/>
                <w:sz w:val="17"/>
              </w:rPr>
              <w:t>☐ nicht bewertet</w:t>
            </w:r>
          </w:p>
        </w:tc>
      </w:tr>
    </w:tbl>
    <w:p>
      <w:pPr>
        <w:spacing w:after="60"/>
        <w:ind w:left="454" w:hanging="340"/>
      </w:pPr>
      <w:r>
        <w:rPr>
          <w:rFonts w:ascii="Aptos" w:hAnsi="Aptos" w:cs="Aptos" w:eastAsia="Aptos"/>
          <w:b/>
          <w:i w:val="0"/>
          <w:color w:val="8C5A2B"/>
          <w:sz w:val="20"/>
        </w:rPr>
        <w:t xml:space="preserve">☐  </w:t>
      </w:r>
      <w:r>
        <w:rPr>
          <w:rFonts w:ascii="Aptos" w:hAnsi="Aptos" w:cs="Aptos" w:eastAsia="Aptos"/>
          <w:b w:val="0"/>
          <w:i w:val="0"/>
          <w:sz w:val="18"/>
        </w:rPr>
        <w:t>Änderungsdienst des Trägers und des Verbands abonniert ☐ ja ☐ nein  –  zweimal im Jahr ausgewertet ☐ ja ☐ nein  –  Datum und Protokoll der letzten Auswertung: ______________</w:t>
      </w:r>
    </w:p>
    <w:p>
      <w:pPr>
        <w:keepNext/>
        <w:pageBreakBefore w:val="0"/>
        <w:spacing w:before="280" w:after="80"/>
        <w:pBdr>
          <w:bottom w:val="single" w:sz="6" w:space="2" w:color="C9BBA6"/>
        </w:pBdr>
      </w:pPr>
      <w:r>
        <w:rPr>
          <w:rFonts w:ascii="Aptos" w:hAnsi="Aptos" w:cs="Aptos" w:eastAsia="Aptos"/>
          <w:b/>
          <w:color w:val="8C5A2B"/>
          <w:sz w:val="28"/>
        </w:rPr>
        <w:t>5   Bewertung der Einhaltung je Rechtsgebiet (Klausel 9.1.2)</w:t>
      </w:r>
    </w:p>
    <w:p>
      <w:pPr>
        <w:spacing w:after="80"/>
        <w:jc w:val="both"/>
      </w:pPr>
      <w:r>
        <w:rPr>
          <w:rFonts w:ascii="Aptos" w:hAnsi="Aptos" w:cs="Aptos" w:eastAsia="Aptos"/>
          <w:b w:val="0"/>
          <w:i w:val="0"/>
          <w:sz w:val="19"/>
        </w:rPr>
        <w:t>Das interne Audit fragt: Wirkt unser System? Die Bewertung der Einhaltung fragt: Halten wir das Gesetz ein? Beide dürfen zusammenfallen, brauchen aber je einen eigenen, erkennbaren Nachweis. Sie endet mit einer Aussage je Rechtsgebiet; die letzte Zeile gilt den „anderen Anforderungen" der Klausel 6.1.3 – auch das, wozu sich das Haus selbst verpflichtet hat, gehört ins Verzeichnis. Häufigkeit und Methode legt das Haus selbst fest und muss sie begründen können – festgelegt: ____________________________</w:t>
      </w:r>
    </w:p>
    <w:tbl>
      <w:tblPr>
        <w:jc w:val="center"/>
        <w:tblLook w:firstColumn="1" w:firstRow="1" w:lastColumn="0" w:lastRow="0" w:noHBand="0" w:noVBand="1" w:val="04A0"/>
        <w:tblW w:w="14798" w:type="dxa"/>
        <w:tblLayout w:type="fixed"/>
      </w:tblPr>
      <w:tblGrid>
        <w:gridCol w:w="2097"/>
        <w:gridCol w:w="3288"/>
        <w:gridCol w:w="3175"/>
        <w:gridCol w:w="2268"/>
        <w:gridCol w:w="1247"/>
        <w:gridCol w:w="2721"/>
      </w:tblGrid>
      <w:tr>
        <w:trPr>
          <w:tblHeader w:val="true"/>
        </w:trPr>
        <w:tc>
          <w:tcPr>
            <w:tcW w:type="dxa" w:w="209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Rechtsgebiet</w:t>
            </w:r>
          </w:p>
        </w:tc>
        <w:tc>
          <w:tcPr>
            <w:tcW w:type="dxa" w:w="328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Typische Pflicht im Hotel (Buch)</w:t>
            </w:r>
          </w:p>
        </w:tc>
        <w:tc>
          <w:tcPr>
            <w:tcW w:type="dxa" w:w="317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Nachweis, den der Auditor sehen will (Buch)</w:t>
            </w:r>
          </w:p>
        </w:tc>
        <w:tc>
          <w:tcPr>
            <w:tcW w:type="dxa" w:w="226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Aussage</w:t>
            </w:r>
          </w:p>
        </w:tc>
        <w:tc>
          <w:tcPr>
            <w:tcW w:type="dxa" w:w="1247"/>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Datum der Bewertung</w:t>
            </w:r>
          </w:p>
        </w:tc>
        <w:tc>
          <w:tcPr>
            <w:tcW w:type="dxa" w:w="272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Folgemaßnahme / Befund</w:t>
            </w:r>
          </w:p>
        </w:tc>
      </w:tr>
      <w:tr>
        <w:trPr>
          <w:cantSplit w:val="true"/>
          <w:trHeight w:val="453" w:hRule="atLeast"/>
        </w:trPr>
        <w:tc>
          <w:tcPr>
            <w:tcW w:type="dxa" w:w="209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Gefährdungsbeurteilung</w:t>
            </w:r>
          </w:p>
        </w:tc>
        <w:tc>
          <w:tcPr>
            <w:tcW w:type="dxa" w:w="328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Erstellen, dokumentieren, überprüfen, beteiligen</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Aktuelles Dokument je Bereich, Beteiligungsnachweis</w:t>
            </w:r>
          </w:p>
        </w:tc>
        <w:tc>
          <w:tcPr>
            <w:tcW w:type="dxa" w:w="226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eingehalten</w:t>
            </w:r>
          </w:p>
          <w:p>
            <w:pPr>
              <w:spacing w:after="20" w:line="252" w:lineRule="auto"/>
            </w:pPr>
            <w:r>
              <w:rPr>
                <w:rFonts w:ascii="Aptos" w:hAnsi="Aptos" w:cs="Aptos" w:eastAsia="Aptos"/>
                <w:b w:val="0"/>
                <w:i w:val="0"/>
                <w:sz w:val="17"/>
              </w:rPr>
              <w:t>☐ teilweise  ☐ nicht bewertbar</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72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209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Unterweisung</w:t>
            </w:r>
          </w:p>
        </w:tc>
        <w:tc>
          <w:tcPr>
            <w:tcW w:type="dxa" w:w="328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Bei Einstellung, bei Änderung, wiederkehrend, verständlich</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Nachweise mit Inhalt und Sprache, nicht nur Unterschriften</w:t>
            </w:r>
          </w:p>
        </w:tc>
        <w:tc>
          <w:tcPr>
            <w:tcW w:type="dxa" w:w="226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eingehalten</w:t>
            </w:r>
          </w:p>
          <w:p>
            <w:pPr>
              <w:spacing w:after="20" w:line="252" w:lineRule="auto"/>
            </w:pPr>
            <w:r>
              <w:rPr>
                <w:rFonts w:ascii="Aptos" w:hAnsi="Aptos" w:cs="Aptos" w:eastAsia="Aptos"/>
                <w:b w:val="0"/>
                <w:i w:val="0"/>
                <w:sz w:val="17"/>
              </w:rPr>
              <w:t>☐ teilweise  ☐ nicht bewertbar</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72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209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Arbeitsmittel</w:t>
            </w:r>
          </w:p>
        </w:tc>
        <w:tc>
          <w:tcPr>
            <w:tcW w:type="dxa" w:w="328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Prüfung durch befähigte Person, Fristen aus der Beurteilung</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Prüfnachweise der tatsächlich vorhandenen Geräte</w:t>
            </w:r>
          </w:p>
        </w:tc>
        <w:tc>
          <w:tcPr>
            <w:tcW w:type="dxa" w:w="226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eingehalten</w:t>
            </w:r>
          </w:p>
          <w:p>
            <w:pPr>
              <w:spacing w:after="20" w:line="252" w:lineRule="auto"/>
            </w:pPr>
            <w:r>
              <w:rPr>
                <w:rFonts w:ascii="Aptos" w:hAnsi="Aptos" w:cs="Aptos" w:eastAsia="Aptos"/>
                <w:b w:val="0"/>
                <w:i w:val="0"/>
                <w:sz w:val="17"/>
              </w:rPr>
              <w:t>☐ teilweise  ☐ nicht bewertbar</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72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209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Gefahrstoffe</w:t>
            </w:r>
          </w:p>
        </w:tc>
        <w:tc>
          <w:tcPr>
            <w:tcW w:type="dxa" w:w="328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Verzeichnis, Sicherheitsdatenblätter, Betriebsanweisung, Kennzeichnung</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Verzeichnis gegen die Realität im Wagen und im Lager</w:t>
            </w:r>
          </w:p>
        </w:tc>
        <w:tc>
          <w:tcPr>
            <w:tcW w:type="dxa" w:w="226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eingehalten</w:t>
            </w:r>
          </w:p>
          <w:p>
            <w:pPr>
              <w:spacing w:after="20" w:line="252" w:lineRule="auto"/>
            </w:pPr>
            <w:r>
              <w:rPr>
                <w:rFonts w:ascii="Aptos" w:hAnsi="Aptos" w:cs="Aptos" w:eastAsia="Aptos"/>
                <w:b w:val="0"/>
                <w:i w:val="0"/>
                <w:sz w:val="17"/>
              </w:rPr>
              <w:t>☐ teilweise  ☐ nicht bewertbar</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72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209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Arbeitszeit</w:t>
            </w:r>
          </w:p>
        </w:tc>
        <w:tc>
          <w:tcPr>
            <w:tcW w:type="dxa" w:w="328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Höchstgrenzen, Ruhezeiten, Nachtarbeit, Aufzeichnung</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Aufzeichnungen der Saisonspitze, nicht des ruhigen Monats</w:t>
            </w:r>
          </w:p>
        </w:tc>
        <w:tc>
          <w:tcPr>
            <w:tcW w:type="dxa" w:w="226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eingehalten</w:t>
            </w:r>
          </w:p>
          <w:p>
            <w:pPr>
              <w:spacing w:after="20" w:line="252" w:lineRule="auto"/>
            </w:pPr>
            <w:r>
              <w:rPr>
                <w:rFonts w:ascii="Aptos" w:hAnsi="Aptos" w:cs="Aptos" w:eastAsia="Aptos"/>
                <w:b w:val="0"/>
                <w:i w:val="0"/>
                <w:sz w:val="17"/>
              </w:rPr>
              <w:t>☐ teilweise  ☐ nicht bewertbar</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72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209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Jugendliche und Schwangere</w:t>
            </w:r>
          </w:p>
        </w:tc>
        <w:tc>
          <w:tcPr>
            <w:tcW w:type="dxa" w:w="328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Gesonderte Beurteilung, Beschäftigungsverbote</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Beurteilungen und Personalstruktur zusammen</w:t>
            </w:r>
          </w:p>
        </w:tc>
        <w:tc>
          <w:tcPr>
            <w:tcW w:type="dxa" w:w="226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eingehalten</w:t>
            </w:r>
          </w:p>
          <w:p>
            <w:pPr>
              <w:spacing w:after="20" w:line="252" w:lineRule="auto"/>
            </w:pPr>
            <w:r>
              <w:rPr>
                <w:rFonts w:ascii="Aptos" w:hAnsi="Aptos" w:cs="Aptos" w:eastAsia="Aptos"/>
                <w:b w:val="0"/>
                <w:i w:val="0"/>
                <w:sz w:val="17"/>
              </w:rPr>
              <w:t>☐ teilweise  ☐ nicht bewertbar</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72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209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Erste Hilfe und Notfall</w:t>
            </w:r>
          </w:p>
        </w:tc>
        <w:tc>
          <w:tcPr>
            <w:tcW w:type="dxa" w:w="328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Ersthelfer in ausreichender Zahl, Ausstattung, Alarmierung</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Zahl der Ersthelfer je Schicht – auch nachts</w:t>
            </w:r>
          </w:p>
        </w:tc>
        <w:tc>
          <w:tcPr>
            <w:tcW w:type="dxa" w:w="226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eingehalten</w:t>
            </w:r>
          </w:p>
          <w:p>
            <w:pPr>
              <w:spacing w:after="20" w:line="252" w:lineRule="auto"/>
            </w:pPr>
            <w:r>
              <w:rPr>
                <w:rFonts w:ascii="Aptos" w:hAnsi="Aptos" w:cs="Aptos" w:eastAsia="Aptos"/>
                <w:b w:val="0"/>
                <w:i w:val="0"/>
                <w:sz w:val="17"/>
              </w:rPr>
              <w:t>☐ teilweise  ☐ nicht bewertbar</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72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209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Brandschutz</w:t>
            </w:r>
          </w:p>
        </w:tc>
        <w:tc>
          <w:tcPr>
            <w:tcW w:type="dxa" w:w="328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Flucht- und Rettungswege, Ordnung, Unterweisung, Übungen</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Begehung während des Betriebs, Übungsprotokoll</w:t>
            </w:r>
          </w:p>
        </w:tc>
        <w:tc>
          <w:tcPr>
            <w:tcW w:type="dxa" w:w="226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eingehalten</w:t>
            </w:r>
          </w:p>
          <w:p>
            <w:pPr>
              <w:spacing w:after="20" w:line="252" w:lineRule="auto"/>
            </w:pPr>
            <w:r>
              <w:rPr>
                <w:rFonts w:ascii="Aptos" w:hAnsi="Aptos" w:cs="Aptos" w:eastAsia="Aptos"/>
                <w:b w:val="0"/>
                <w:i w:val="0"/>
                <w:sz w:val="17"/>
              </w:rPr>
              <w:t>☐ teilweise  ☐ nicht bewertbar</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72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209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Fremdfirmen</w:t>
            </w:r>
          </w:p>
        </w:tc>
        <w:tc>
          <w:tcPr>
            <w:tcW w:type="dxa" w:w="328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Koordination, Unterweisung, Abstimmung der Gefährdungen</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Koordinationsnachweis für die letzte Fremdfirma im Haus</w:t>
            </w:r>
          </w:p>
        </w:tc>
        <w:tc>
          <w:tcPr>
            <w:tcW w:type="dxa" w:w="226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eingehalten</w:t>
            </w:r>
          </w:p>
          <w:p>
            <w:pPr>
              <w:spacing w:after="20" w:line="252" w:lineRule="auto"/>
            </w:pPr>
            <w:r>
              <w:rPr>
                <w:rFonts w:ascii="Aptos" w:hAnsi="Aptos" w:cs="Aptos" w:eastAsia="Aptos"/>
                <w:b w:val="0"/>
                <w:i w:val="0"/>
                <w:sz w:val="17"/>
              </w:rPr>
              <w:t>☐ teilweise  ☐ nicht bewertbar</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72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209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«Andere Anforderungen» (6.1.3)</w:t>
            </w:r>
          </w:p>
        </w:tc>
        <w:tc>
          <w:tcPr>
            <w:tcW w:type="dxa" w:w="328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Marken- oder Franchisestandard, Konzern- oder Gruppenvorgabe, Vereinbarung mit der Belegschaftsvertretung, Zusagen an Kunden und Veranstalter (z. B. im Bankettvertrag), Branchenlösung</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Im Verzeichnis und bewertet? Wo die Gruppenvorgabe strenger ist als das nationale Recht, ist sie der Maßstab</w:t>
            </w:r>
          </w:p>
        </w:tc>
        <w:tc>
          <w:tcPr>
            <w:tcW w:type="dxa" w:w="226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eingehalten</w:t>
            </w:r>
          </w:p>
          <w:p>
            <w:pPr>
              <w:spacing w:after="20" w:line="252" w:lineRule="auto"/>
            </w:pPr>
            <w:r>
              <w:rPr>
                <w:rFonts w:ascii="Aptos" w:hAnsi="Aptos" w:cs="Aptos" w:eastAsia="Aptos"/>
                <w:b w:val="0"/>
                <w:i w:val="0"/>
                <w:sz w:val="17"/>
              </w:rPr>
              <w:t>☐ teilweise  ☐ nicht bewertbar</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72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r>
        <w:rPr>
          <w:rFonts w:ascii="Aptos" w:hAnsi="Aptos" w:cs="Aptos" w:eastAsia="Aptos"/>
          <w:b w:val="0"/>
          <w:i/>
          <w:color w:val="7A6A55"/>
          <w:sz w:val="17"/>
        </w:rPr>
        <w:t>Prüfen Sie Arbeitszeit an den Aufzeichnungen der Saisonspitze: Wer den ruhigsten Monat prüft, prüft nichts.</w:t>
      </w:r>
    </w:p>
    <w:p>
      <w:pPr>
        <w:keepNext/>
        <w:pageBreakBefore w:val="0"/>
        <w:spacing w:before="280" w:after="80"/>
        <w:pBdr>
          <w:bottom w:val="single" w:sz="6" w:space="2" w:color="C9BBA6"/>
        </w:pBdr>
      </w:pPr>
      <w:r>
        <w:rPr>
          <w:rFonts w:ascii="Aptos" w:hAnsi="Aptos" w:cs="Aptos" w:eastAsia="Aptos"/>
          <w:b/>
          <w:color w:val="8C5A2B"/>
          <w:sz w:val="28"/>
        </w:rPr>
        <w:t>6   «Wirkt es im Betrieb?» – von der Vorschrift zum Bereich</w:t>
      </w:r>
    </w:p>
    <w:p>
      <w:pPr>
        <w:spacing w:after="80"/>
        <w:jc w:val="both"/>
      </w:pPr>
      <w:r>
        <w:rPr>
          <w:rFonts w:ascii="Aptos" w:hAnsi="Aptos" w:cs="Aptos" w:eastAsia="Aptos"/>
          <w:b w:val="0"/>
          <w:i w:val="0"/>
          <w:sz w:val="19"/>
        </w:rPr>
        <w:t>Tragen Sie je Rechtsgebiet ein, in welchen Bereichen es wirkt (X) und ob Sie es dort beobachtet haben: ✓ wirkt, ✗ wirkt nicht. Eine leere Zeile heißt: keinem Prozess zugeordnet – das ist der Befund, oder die Anforderung betrifft das Haus nicht und wird nach Prüfung gestrichen.</w:t>
      </w:r>
    </w:p>
    <w:tbl>
      <w:tblPr>
        <w:jc w:val="center"/>
        <w:tblLook w:firstColumn="1" w:firstRow="1" w:lastColumn="0" w:lastRow="0" w:noHBand="0" w:noVBand="1" w:val="04A0"/>
        <w:tblW w:w="14798" w:type="dxa"/>
        <w:tblLayout w:type="fixed"/>
      </w:tblPr>
      <w:tblGrid>
        <w:gridCol w:w="1927"/>
        <w:gridCol w:w="1134"/>
        <w:gridCol w:w="1134"/>
        <w:gridCol w:w="1134"/>
        <w:gridCol w:w="1134"/>
        <w:gridCol w:w="1134"/>
        <w:gridCol w:w="1134"/>
        <w:gridCol w:w="1134"/>
        <w:gridCol w:w="4932"/>
      </w:tblGrid>
      <w:tr>
        <w:trPr>
          <w:tblHeader w:val="true"/>
        </w:trPr>
        <w:tc>
          <w:tcPr>
            <w:tcW w:type="dxa" w:w="192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Rechtsgebiet</w:t>
            </w:r>
          </w:p>
        </w:tc>
        <w:tc>
          <w:tcPr>
            <w:tcW w:type="dxa" w:w="113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Küche</w:t>
            </w:r>
          </w:p>
        </w:tc>
        <w:tc>
          <w:tcPr>
            <w:tcW w:type="dxa" w:w="113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Etage</w:t>
            </w:r>
          </w:p>
        </w:tc>
        <w:tc>
          <w:tcPr>
            <w:tcW w:type="dxa" w:w="113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Wäscherei</w:t>
            </w:r>
          </w:p>
        </w:tc>
        <w:tc>
          <w:tcPr>
            <w:tcW w:type="dxa" w:w="113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Haus-</w:t>
              <w:br/>
              <w:t>technik</w:t>
            </w:r>
          </w:p>
        </w:tc>
        <w:tc>
          <w:tcPr>
            <w:tcW w:type="dxa" w:w="113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Empfang / Nacht</w:t>
            </w:r>
          </w:p>
        </w:tc>
        <w:tc>
          <w:tcPr>
            <w:tcW w:type="dxa" w:w="113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Bankett</w:t>
            </w:r>
          </w:p>
        </w:tc>
        <w:tc>
          <w:tcPr>
            <w:tcW w:type="dxa" w:w="113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Wellness / Bad</w:t>
            </w:r>
          </w:p>
        </w:tc>
        <w:tc>
          <w:tcPr>
            <w:tcW w:type="dxa" w:w="4932"/>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Befund</w:t>
            </w:r>
          </w:p>
        </w:tc>
      </w:tr>
      <w:tr>
        <w:trPr>
          <w:cantSplit w:val="true"/>
          <w:trHeight w:val="351" w:hRule="atLeast"/>
        </w:trPr>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Gefährdungsbeurteilung</w:t>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493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51" w:hRule="atLeast"/>
        </w:trPr>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Unterweisung</w:t>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493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51" w:hRule="atLeast"/>
        </w:trPr>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Arbeitsmittel</w:t>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493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51" w:hRule="atLeast"/>
        </w:trPr>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Gefahrstoffe</w:t>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493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51" w:hRule="atLeast"/>
        </w:trPr>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Arbeitszeit</w:t>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493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51" w:hRule="atLeast"/>
        </w:trPr>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Jugendliche und Schwangere</w:t>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493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51" w:hRule="atLeast"/>
        </w:trPr>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Erste Hilfe und Notfall</w:t>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493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51" w:hRule="atLeast"/>
        </w:trPr>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Brandschutz</w:t>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493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51" w:hRule="atLeast"/>
        </w:trPr>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Fremdfirmen</w:t>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493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pPr>
        <w:spacing w:after="60"/>
      </w:pPr>
    </w:p>
    <w:tbl>
      <w:tblPr>
        <w:jc w:val="center"/>
        <w:tblLook w:firstColumn="1" w:firstRow="1" w:lastColumn="0" w:lastRow="0" w:noHBand="0" w:noVBand="1" w:val="04A0"/>
        <w:tblW w:w="14798" w:type="dxa"/>
        <w:tblLayout w:type="fixed"/>
      </w:tblPr>
      <w:tblGrid>
        <w:gridCol w:w="2948"/>
        <w:gridCol w:w="2381"/>
        <w:gridCol w:w="1474"/>
        <w:gridCol w:w="2381"/>
        <w:gridCol w:w="3402"/>
        <w:gridCol w:w="2211"/>
      </w:tblGrid>
      <w:tr>
        <w:trPr>
          <w:tblHeader w:val="true"/>
        </w:trPr>
        <w:tc>
          <w:tcPr>
            <w:tcW w:type="dxa" w:w="294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Anforderung (Fundstelle)</w:t>
            </w:r>
          </w:p>
        </w:tc>
        <w:tc>
          <w:tcPr>
            <w:tcW w:type="dxa" w:w="238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Prozess / Tätigkeit im Haus</w:t>
            </w:r>
          </w:p>
        </w:tc>
        <w:tc>
          <w:tcPr>
            <w:tcW w:type="dxa" w:w="147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Bereich</w:t>
            </w:r>
          </w:p>
        </w:tc>
        <w:tc>
          <w:tcPr>
            <w:tcW w:type="dxa" w:w="238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Zuständige Person (im Gespräch bestätigt)</w:t>
            </w:r>
          </w:p>
        </w:tc>
        <w:tc>
          <w:tcPr>
            <w:tcW w:type="dxa" w:w="3402"/>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Was ich vor Ort sehe</w:t>
            </w:r>
          </w:p>
        </w:tc>
        <w:tc>
          <w:tcPr>
            <w:tcW w:type="dxa" w:w="221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Stand</w:t>
            </w:r>
          </w:p>
        </w:tc>
      </w:tr>
      <w:tr>
        <w:trPr>
          <w:cantSplit w:val="true"/>
          <w:trHeight w:val="453" w:hRule="atLeast"/>
        </w:trPr>
        <w:tc>
          <w:tcPr>
            <w:tcW w:type="dxa" w:w="294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7"/>
              </w:rPr>
              <w:t>Beispiel: Fremdfirmen – Koordination, Unterweisung, Abstimmung der Gefährdungen</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Fremdfirmen im Haus (Wartung, Fensterreinigung, Bau)</w:t>
            </w:r>
          </w:p>
        </w:tc>
        <w:tc>
          <w:tcPr>
            <w:tcW w:type="dxa" w:w="147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40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7"/>
              </w:rPr>
              <w:t>Nachweis: Koordinationsnachweis für die letzte Fremdfirma, die tatsächlich im Haus war</w:t>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453" w:hRule="atLeast"/>
        </w:trPr>
        <w:tc>
          <w:tcPr>
            <w:tcW w:type="dxa" w:w="294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47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40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bl>
    <w:p>
      <w:pPr>
        <w:keepNext/>
        <w:pageBreakBefore w:val="0"/>
        <w:spacing w:before="280" w:after="80"/>
        <w:pBdr>
          <w:bottom w:val="single" w:sz="6" w:space="2" w:color="C9BBA6"/>
        </w:pBdr>
      </w:pPr>
      <w:r>
        <w:rPr>
          <w:rFonts w:ascii="Aptos" w:hAnsi="Aptos" w:cs="Aptos" w:eastAsia="Aptos"/>
          <w:b/>
          <w:color w:val="8C5A2B"/>
          <w:sz w:val="28"/>
        </w:rPr>
        <w:t>7   Zwei Stichproben: die fünf Unterlagen der Aufsicht und die Zuordnung im Gespräch</w:t>
      </w:r>
    </w:p>
    <w:p>
      <w:pPr>
        <w:keepNext/>
        <w:spacing w:before="160" w:after="60"/>
      </w:pPr>
      <w:r>
        <w:rPr>
          <w:rFonts w:ascii="Aptos" w:hAnsi="Aptos" w:cs="Aptos" w:eastAsia="Aptos"/>
          <w:b/>
          <w:color w:val="8C5A2B"/>
          <w:sz w:val="23"/>
        </w:rPr>
        <w:t>Die fünf Unterlagen, die eine Aufsicht zuerst verlangt – mit der Stoppuhr (Maßstab: zehn Minuten je Bereich)</w:t>
      </w:r>
    </w:p>
    <w:tbl>
      <w:tblPr>
        <w:jc w:val="center"/>
        <w:tblLook w:firstColumn="1" w:firstRow="1" w:lastColumn="0" w:lastRow="0" w:noHBand="0" w:noVBand="1" w:val="04A0"/>
        <w:tblW w:w="14798" w:type="dxa"/>
        <w:tblLayout w:type="fixed"/>
      </w:tblPr>
      <w:tblGrid>
        <w:gridCol w:w="3515"/>
        <w:gridCol w:w="3515"/>
        <w:gridCol w:w="1814"/>
        <w:gridCol w:w="1927"/>
        <w:gridCol w:w="1247"/>
        <w:gridCol w:w="2778"/>
      </w:tblGrid>
      <w:tr>
        <w:trPr>
          <w:tblHeader w:val="true"/>
        </w:trPr>
        <w:tc>
          <w:tcPr>
            <w:tcW w:type="dxa" w:w="351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Unterlage</w:t>
            </w:r>
          </w:p>
        </w:tc>
        <w:tc>
          <w:tcPr>
            <w:tcW w:type="dxa" w:w="351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Was ein Haus vorbereitet haben kann (Buch)</w:t>
            </w:r>
          </w:p>
        </w:tc>
        <w:tc>
          <w:tcPr>
            <w:tcW w:type="dxa" w:w="181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Bereich</w:t>
            </w:r>
          </w:p>
        </w:tc>
        <w:tc>
          <w:tcPr>
            <w:tcW w:type="dxa" w:w="192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Gefunden in zehn Minuten?</w:t>
            </w:r>
          </w:p>
        </w:tc>
        <w:tc>
          <w:tcPr>
            <w:tcW w:type="dxa" w:w="1247"/>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Stand</w:t>
            </w:r>
          </w:p>
        </w:tc>
        <w:tc>
          <w:tcPr>
            <w:tcW w:type="dxa" w:w="277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Befund</w:t>
            </w:r>
          </w:p>
        </w:tc>
      </w:tr>
      <w:tr>
        <w:trPr>
          <w:cantSplit w:val="true"/>
          <w:trHeight w:val="368" w:hRule="atLeast"/>
        </w:trPr>
        <w:tc>
          <w:tcPr>
            <w:tcW w:type="dxa" w:w="351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Gefährdungsbeurteilung des besichtigten Bereichs</w:t>
            </w:r>
          </w:p>
        </w:tc>
        <w:tc>
          <w:tcPr>
            <w:tcW w:type="dxa" w:w="351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Aktuelles Dokument, im Bereich erreichbar</w:t>
            </w:r>
          </w:p>
        </w:tc>
        <w:tc>
          <w:tcPr>
            <w:tcW w:type="dxa" w:w="181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aktuell</w:t>
            </w:r>
          </w:p>
          <w:p>
            <w:pPr>
              <w:spacing w:after="20" w:line="252" w:lineRule="auto"/>
            </w:pPr>
            <w:r>
              <w:rPr>
                <w:rFonts w:ascii="Aptos" w:hAnsi="Aptos" w:cs="Aptos" w:eastAsia="Aptos"/>
                <w:b w:val="0"/>
                <w:i w:val="0"/>
                <w:sz w:val="17"/>
              </w:rPr>
              <w:t>☐ nicht</w:t>
            </w:r>
          </w:p>
        </w:tc>
        <w:tc>
          <w:tcPr>
            <w:tcW w:type="dxa" w:w="277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68" w:hRule="atLeast"/>
        </w:trPr>
        <w:tc>
          <w:tcPr>
            <w:tcW w:type="dxa" w:w="351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Unterweisungsnachweise der anwesenden Personen</w:t>
            </w:r>
          </w:p>
        </w:tc>
        <w:tc>
          <w:tcPr>
            <w:tcW w:type="dxa" w:w="351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Nachweise mit Inhalt und Sprache, nicht nur Datum</w:t>
            </w:r>
          </w:p>
        </w:tc>
        <w:tc>
          <w:tcPr>
            <w:tcW w:type="dxa" w:w="181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aktuell</w:t>
            </w:r>
          </w:p>
          <w:p>
            <w:pPr>
              <w:spacing w:after="20" w:line="252" w:lineRule="auto"/>
            </w:pPr>
            <w:r>
              <w:rPr>
                <w:rFonts w:ascii="Aptos" w:hAnsi="Aptos" w:cs="Aptos" w:eastAsia="Aptos"/>
                <w:b w:val="0"/>
                <w:i w:val="0"/>
                <w:sz w:val="17"/>
              </w:rPr>
              <w:t>☐ nicht</w:t>
            </w:r>
          </w:p>
        </w:tc>
        <w:tc>
          <w:tcPr>
            <w:tcW w:type="dxa" w:w="277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68" w:hRule="atLeast"/>
        </w:trPr>
        <w:tc>
          <w:tcPr>
            <w:tcW w:type="dxa" w:w="351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Prüfnachweise der Arbeitsmittel im Raum</w:t>
            </w:r>
          </w:p>
        </w:tc>
        <w:tc>
          <w:tcPr>
            <w:tcW w:type="dxa" w:w="351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Prüfnachweise der tatsächlich vorhandenen Geräte</w:t>
            </w:r>
          </w:p>
        </w:tc>
        <w:tc>
          <w:tcPr>
            <w:tcW w:type="dxa" w:w="181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aktuell</w:t>
            </w:r>
          </w:p>
          <w:p>
            <w:pPr>
              <w:spacing w:after="20" w:line="252" w:lineRule="auto"/>
            </w:pPr>
            <w:r>
              <w:rPr>
                <w:rFonts w:ascii="Aptos" w:hAnsi="Aptos" w:cs="Aptos" w:eastAsia="Aptos"/>
                <w:b w:val="0"/>
                <w:i w:val="0"/>
                <w:sz w:val="17"/>
              </w:rPr>
              <w:t>☐ nicht</w:t>
            </w:r>
          </w:p>
        </w:tc>
        <w:tc>
          <w:tcPr>
            <w:tcW w:type="dxa" w:w="277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68" w:hRule="atLeast"/>
        </w:trPr>
        <w:tc>
          <w:tcPr>
            <w:tcW w:type="dxa" w:w="351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Bestellung der fachlichen Betreuung</w:t>
            </w:r>
          </w:p>
        </w:tc>
        <w:tc>
          <w:tcPr>
            <w:tcW w:type="dxa" w:w="351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Bestellung und Nachweis der tatsächlichen Tätigkeit</w:t>
            </w:r>
          </w:p>
        </w:tc>
        <w:tc>
          <w:tcPr>
            <w:tcW w:type="dxa" w:w="181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aktuell</w:t>
            </w:r>
          </w:p>
          <w:p>
            <w:pPr>
              <w:spacing w:after="20" w:line="252" w:lineRule="auto"/>
            </w:pPr>
            <w:r>
              <w:rPr>
                <w:rFonts w:ascii="Aptos" w:hAnsi="Aptos" w:cs="Aptos" w:eastAsia="Aptos"/>
                <w:b w:val="0"/>
                <w:i w:val="0"/>
                <w:sz w:val="17"/>
              </w:rPr>
              <w:t>☐ nicht</w:t>
            </w:r>
          </w:p>
        </w:tc>
        <w:tc>
          <w:tcPr>
            <w:tcW w:type="dxa" w:w="277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68" w:hRule="atLeast"/>
        </w:trPr>
        <w:tc>
          <w:tcPr>
            <w:tcW w:type="dxa" w:w="351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Arbeitszeitaufzeichnungen</w:t>
            </w:r>
          </w:p>
        </w:tc>
        <w:tc>
          <w:tcPr>
            <w:tcW w:type="dxa" w:w="351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Aufzeichnungen der Saisonspitze</w:t>
            </w:r>
          </w:p>
        </w:tc>
        <w:tc>
          <w:tcPr>
            <w:tcW w:type="dxa" w:w="181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124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aktuell</w:t>
            </w:r>
          </w:p>
          <w:p>
            <w:pPr>
              <w:spacing w:after="20" w:line="252" w:lineRule="auto"/>
            </w:pPr>
            <w:r>
              <w:rPr>
                <w:rFonts w:ascii="Aptos" w:hAnsi="Aptos" w:cs="Aptos" w:eastAsia="Aptos"/>
                <w:b w:val="0"/>
                <w:i w:val="0"/>
                <w:sz w:val="17"/>
              </w:rPr>
              <w:t>☐ nicht</w:t>
            </w:r>
          </w:p>
        </w:tc>
        <w:tc>
          <w:tcPr>
            <w:tcW w:type="dxa" w:w="277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pPr>
        <w:keepNext/>
        <w:spacing w:before="160" w:after="60"/>
      </w:pPr>
      <w:r>
        <w:rPr>
          <w:rFonts w:ascii="Aptos" w:hAnsi="Aptos" w:cs="Aptos" w:eastAsia="Aptos"/>
          <w:b/>
          <w:color w:val="8C5A2B"/>
          <w:sz w:val="23"/>
        </w:rPr>
        <w:t>Zuordnung (4. Glied): ein Gespräch von zehn Minuten je benannter Person</w:t>
      </w:r>
    </w:p>
    <w:p>
      <w:pPr>
        <w:spacing w:after="60"/>
        <w:jc w:val="both"/>
      </w:pPr>
      <w:r>
        <w:rPr>
          <w:rFonts w:ascii="Aptos" w:hAnsi="Aptos" w:cs="Aptos" w:eastAsia="Aptos"/>
          <w:b w:val="0"/>
          <w:i w:val="0"/>
          <w:sz w:val="18"/>
        </w:rPr>
        <w:t>Die Frage lautet nicht „Sind Sie beauftragt?", sondern: „Wofür genau, und was können Sie entscheiden, ohne zu fragen?" Eine Übertragung ohne Entscheidungsspielraum ist eine Zuweisung von Verantwortung ohne die Mittel, sie zu tragen.</w:t>
      </w:r>
    </w:p>
    <w:tbl>
      <w:tblPr>
        <w:jc w:val="center"/>
        <w:tblLook w:firstColumn="1" w:firstRow="1" w:lastColumn="0" w:lastRow="0" w:noHBand="0" w:noVBand="1" w:val="04A0"/>
        <w:tblW w:w="14798" w:type="dxa"/>
        <w:tblLayout w:type="fixed"/>
      </w:tblPr>
      <w:tblGrid>
        <w:gridCol w:w="2494"/>
        <w:gridCol w:w="2154"/>
        <w:gridCol w:w="3118"/>
        <w:gridCol w:w="2494"/>
        <w:gridCol w:w="2438"/>
        <w:gridCol w:w="2097"/>
      </w:tblGrid>
      <w:tr>
        <w:trPr>
          <w:tblHeader w:val="true"/>
        </w:trPr>
        <w:tc>
          <w:tcPr>
            <w:tcW w:type="dxa" w:w="249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Pflicht</w:t>
            </w:r>
          </w:p>
        </w:tc>
        <w:tc>
          <w:tcPr>
            <w:tcW w:type="dxa" w:w="215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Benannte Person (Funktion)</w:t>
            </w:r>
          </w:p>
        </w:tc>
        <w:tc>
          <w:tcPr>
            <w:tcW w:type="dxa" w:w="311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Wofür genau? (Antwort)</w:t>
            </w:r>
          </w:p>
        </w:tc>
        <w:tc>
          <w:tcPr>
            <w:tcW w:type="dxa" w:w="249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Welche Mittel (Budget, Zeit)?</w:t>
            </w:r>
          </w:p>
        </w:tc>
        <w:tc>
          <w:tcPr>
            <w:tcW w:type="dxa" w:w="243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Entscheidet ohne zu fragen</w:t>
            </w:r>
          </w:p>
        </w:tc>
        <w:tc>
          <w:tcPr>
            <w:tcW w:type="dxa" w:w="209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Schriftlich und angenommen?</w:t>
            </w:r>
          </w:p>
        </w:tc>
      </w:tr>
      <w:tr>
        <w:trPr>
          <w:cantSplit w:val="true"/>
          <w:trHeight w:val="481" w:hRule="atLeast"/>
        </w:trPr>
        <w:tc>
          <w:tcPr>
            <w:tcW w:type="dxa" w:w="249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1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49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43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r>
      <w:tr>
        <w:trPr>
          <w:cantSplit w:val="true"/>
          <w:trHeight w:val="481" w:hRule="atLeast"/>
        </w:trPr>
        <w:tc>
          <w:tcPr>
            <w:tcW w:type="dxa" w:w="249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1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49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43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r>
      <w:tr>
        <w:trPr>
          <w:cantSplit w:val="true"/>
          <w:trHeight w:val="481" w:hRule="atLeast"/>
        </w:trPr>
        <w:tc>
          <w:tcPr>
            <w:tcW w:type="dxa" w:w="249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1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49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43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r>
    </w:tbl>
    <w:p>
      <w:pPr>
        <w:spacing w:after="60"/>
        <w:jc w:val="both"/>
      </w:pPr>
      <w:r>
        <w:rPr>
          <w:rFonts w:ascii="Aptos" w:hAnsi="Aptos" w:cs="Aptos" w:eastAsia="Aptos"/>
          <w:b w:val="0"/>
          <w:i w:val="0"/>
          <w:sz w:val="18"/>
        </w:rPr>
        <w:t>Aushilfe aus einem anderen Haus der Gruppe (drei Fragen, drei Nachweise): ☐ Ist im Haus bekannt, wer aushilfsweise kommt?   ☐ Erhält die Person eine Unterweisung für DIESES Haus (Anlagen, Fluchtwege, Chemie)?   ☐ Ist geklärt, wer für sie im Ereignisfall zuständig ist?</w:t>
      </w:r>
    </w:p>
    <w:p>
      <w:pPr>
        <w:keepNext/>
        <w:pageBreakBefore w:val="0"/>
        <w:spacing w:before="280" w:after="80"/>
        <w:pBdr>
          <w:bottom w:val="single" w:sz="6" w:space="2" w:color="C9BBA6"/>
        </w:pBdr>
      </w:pPr>
      <w:r>
        <w:rPr>
          <w:rFonts w:ascii="Aptos" w:hAnsi="Aptos" w:cs="Aptos" w:eastAsia="Aptos"/>
          <w:b/>
          <w:color w:val="8C5A2B"/>
          <w:sz w:val="28"/>
        </w:rPr>
        <w:t>8   Wie der Befund formuliert wird</w:t>
      </w:r>
    </w:p>
    <w:tbl>
      <w:tblPr>
        <w:jc w:val="center"/>
        <w:tblLook w:firstColumn="1" w:firstRow="1" w:lastColumn="0" w:lastRow="0" w:noHBand="0" w:noVBand="1" w:val="04A0"/>
        <w:tblW w:w="14798" w:type="dxa"/>
        <w:tblLayout w:type="fixed"/>
      </w:tblPr>
      <w:tblGrid>
        <w:gridCol w:w="3061"/>
        <w:gridCol w:w="7371"/>
        <w:gridCol w:w="4365"/>
      </w:tblGrid>
      <w:tr>
        <w:trPr>
          <w:tblHeader w:val="true"/>
        </w:trPr>
        <w:tc>
          <w:tcPr>
            <w:tcW w:type="dxa" w:w="306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Fall</w:t>
            </w:r>
          </w:p>
        </w:tc>
        <w:tc>
          <w:tcPr>
            <w:tcW w:type="dxa" w:w="7370"/>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Formulierung laut Buch</w:t>
            </w:r>
          </w:p>
        </w:tc>
        <w:tc>
          <w:tcPr>
            <w:tcW w:type="dxa" w:w="436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Ihr Befund</w:t>
            </w:r>
          </w:p>
        </w:tc>
      </w:tr>
      <w:tr>
        <w:trPr>
          <w:cantSplit w:val="true"/>
          <w:trHeight w:val="567" w:hRule="atLeast"/>
        </w:trPr>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1  Fehlende Kette</w:t>
            </w:r>
          </w:p>
        </w:tc>
        <w:tc>
          <w:tcPr>
            <w:tcW w:type="dxa" w:w="7370"/>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Systembefund, eindeutig belegbar, gehört in den internen Auditbericht. Nicht „Verstoß gegen § …", sondern: „Für die Anforderung X ist keine zuständige Person benannt." / „Eine Bewertung der Einhaltung liegt für das Gebiet Y nicht vor."</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567" w:hRule="atLeast"/>
        </w:trPr>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2  Beobachtete Abweichung von einer klaren, unstreitigen Pflicht</w:t>
            </w:r>
          </w:p>
        </w:tc>
        <w:tc>
          <w:tcPr>
            <w:tcW w:type="dxa" w:w="7370"/>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 xml:space="preserve">Sachverhalt benennen und Fundstelle angeben, ohne rechtliche Würdigung. </w:t>
            </w:r>
            <w:r>
              <w:rPr>
                <w:rFonts w:ascii="Aptos" w:hAnsi="Aptos" w:cs="Aptos" w:eastAsia="Aptos"/>
                <w:b w:val="0"/>
                <w:i/>
                <w:color w:val="7A6A55"/>
                <w:sz w:val="17"/>
              </w:rPr>
              <w:t>Beispiel: „Aufzeichnung vom 12. bis 18. August weist an vier Tagen mehr als die zulässige Höchstarbeitszeit aus."</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567" w:hRule="atLeast"/>
        </w:trPr>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3  Zweifelsfrage (Anwendbarkeit, Auslegung, Ausnahme)</w:t>
            </w:r>
          </w:p>
        </w:tc>
        <w:tc>
          <w:tcPr>
            <w:tcW w:type="dxa" w:w="7370"/>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„Zu dieser Frage liegt keine fachliche Bewertung vor; eine solche ist einzuholen."  Das ist kein Ausweichen, sondern der einzig zulässige Befund.</w:t>
            </w:r>
          </w:p>
        </w:tc>
        <w:tc>
          <w:tcPr>
            <w:tcW w:type="dxa" w:w="43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r>
        <w:rPr>
          <w:rFonts w:ascii="Aptos" w:hAnsi="Aptos" w:cs="Aptos" w:eastAsia="Aptos"/>
          <w:b w:val="0"/>
          <w:i/>
          <w:color w:val="7A6A55"/>
          <w:sz w:val="17"/>
        </w:rPr>
        <w:t>Nicht Gegenstand Ihrer Prüfung (rechte Spalte des Buches): ob das Verzeichnis rechtlich vollständig ist; ob die Auslegung einer Norm zutrifft; ob eine Rechtsänderung inhaltlich richtig bewertet wurde; ob eine Übertragung rechtswirksam ist; ob im Einzelfall ein Verstoß vorliegt; ob Nachweise im Streitfall genügen.</w:t>
      </w:r>
    </w:p>
    <w:p>
      <w:pPr>
        <w:keepNext/>
        <w:spacing w:before="160" w:after="60"/>
      </w:pPr>
      <w:r>
        <w:rPr>
          <w:rFonts w:ascii="Aptos" w:hAnsi="Aptos" w:cs="Aptos" w:eastAsia="Aptos"/>
          <w:b/>
          <w:color w:val="8C5A2B"/>
          <w:sz w:val="23"/>
        </w:rPr>
        <w:t>Rechtlicher Rahmen laut Buch (verbindlich ist die jeweils gültige Fassung)</w:t>
      </w:r>
    </w:p>
    <w:p>
      <w:pPr>
        <w:jc w:val="both"/>
      </w:pPr>
      <w:r>
        <w:rPr>
          <w:rFonts w:ascii="Aptos" w:hAnsi="Aptos" w:cs="Aptos" w:eastAsia="Aptos"/>
          <w:b w:val="0"/>
          <w:i w:val="0"/>
          <w:sz w:val="18"/>
        </w:rPr>
        <w:t>Pflichtenübertragung: Die Grundverantwortung bleibt in allen drei Ländern beim Arbeitgeber (Geschäftsführung); Übertragung nur schriftlich, bestimmt, angenommen und mit Mitteln. Deutschland: § 13 ArbSchG; Fachkraft für Arbeitssicherheit und Betriebsarzt (ASiG); Betriebsrat, Sicherheitsbeauftragte; Pflichten der Beschäftigten §§ 15, 16 ArbSchG. Österreich: § 9 VStG und § 23 ArbIG (verantwortliche Beauftragte: schriftliche Mitteilung samt Zustimmungsnachweis an das Arbeitsinspektorat); §§ 73, 79 ASchG; Belegschaftsvertretung, Sicherheitsvertrauenspersonen; § 15 ASchG. Schweiz: Linienverantwortung, schriftliche Regelung im ASA-Konzept; Spezialisten nach EKAS-Richtlinie 6508; Mitwirkung, Sicherheitsbeauftragte; Art. 11 VUV. Quellen und Aufsicht je Land: siehe Teil 4. Zur Gefährdungsbeurteilung, Unterweisung und Fremdfirmen siehe die Vorlagen zu den Abschnitten 3.6, 3.8 und 3.9. Norm: Es gilt die ISO 45001:2018, im deutschsprachigen Raum national übernommen (DIN EN ISO 45001:2023-12, ÖNORM EN ISO 45001:2023-12-01, SN EN ISO 45001:2023) und ergänzt um Amd 1:2024 (Klima). Der Entwurf ISO/DIS 45001 ist keine geltende Anforderung; eine ISO 45001:2026 existiert nicht (Abschnitte 3.1 und 4.13).</w:t>
      </w:r>
    </w:p>
    <w:p>
      <w:pPr>
        <w:keepNext/>
        <w:spacing w:before="160" w:after="60"/>
      </w:pPr>
      <w:r>
        <w:rPr>
          <w:rFonts w:ascii="Aptos" w:hAnsi="Aptos" w:cs="Aptos" w:eastAsia="Aptos"/>
          <w:b/>
          <w:color w:val="8C5A2B"/>
          <w:sz w:val="23"/>
        </w:rPr>
        <w:t>Was diese Vorlage nicht ist</w:t>
      </w:r>
    </w:p>
    <w:p>
      <w:pPr>
        <w:jc w:val="both"/>
      </w:pPr>
      <w:r>
        <w:rPr>
          <w:rFonts w:ascii="Aptos" w:hAnsi="Aptos" w:cs="Aptos" w:eastAsia="Aptos"/>
          <w:b w:val="0"/>
          <w:i w:val="0"/>
          <w:sz w:val="19"/>
        </w:rPr>
        <w:t>Diese Vorlage ersetzt weder die Norm noch eine Rechtsberatung. Sie bewertet nicht die Rechtslage und beantwortet keine Auslegungsfrage; sie prüft, ob ein Haus die Kette von Verzeichnis, Bezug, Aktualisierung, Zuordnung und Bewertung hat. Ein ISO-45001-Zertifikat bescheinigt ein System, keine Rechtstreue; die Aufstellung der Quellen und Rechtsgebiete ist nicht vollständig. Sie ersetzt auch nicht das Urteil der Zertifizierungsstelle oder der Aufsicht. Verbindlich ist die jeweils gültige Fassung von Gesetz und Norm.</w:t>
      </w:r>
    </w:p>
    <w:sectPr w:rsidR="00FC693F" w:rsidRPr="0006063C" w:rsidSect="00034616">
      <w:footerReference w:type="default" r:id="rId9"/>
      <w:pgSz w:w="16838" w:h="11906"/>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eastAsia="Aptos"/>
        <w:color w:val="7A6A55"/>
        <w:sz w:val="16"/>
      </w:rPr>
      <w:t xml:space="preserve">Das Steuer und die Lupe · Band 3b · ISO 45001 · buecher.effedore.com  ·  Seite </w:t>
    </w:r>
    <w:r>
      <w:rPr>
        <w:rFonts w:ascii="Aptos" w:hAnsi="Aptos" w:cs="Aptos" w:eastAsia="Aptos"/>
        <w:color w:val="7A6A55"/>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eastAsia="Aptos"/>
      <w:color w:val="2B2B2B"/>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