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3.9 DES BANDES 3B</w:t>
      </w:r>
    </w:p>
    <w:p>
      <w:pPr>
        <w:spacing w:after="60"/>
        <w:pBdr>
          <w:bottom w:val="single" w:sz="8" w:space="4" w:color="C9BBA6"/>
        </w:pBdr>
      </w:pPr>
      <w:r>
        <w:rPr>
          <w:rFonts w:ascii="Aptos" w:hAnsi="Aptos" w:cs="Aptos" w:eastAsia="Aptos"/>
          <w:b/>
          <w:color w:val="8C5A2B"/>
          <w:sz w:val="42"/>
        </w:rPr>
        <w:t>Einweisungsblatt für Fremdfirmen</w:t>
      </w:r>
    </w:p>
    <w:p>
      <w:pPr>
        <w:spacing w:before="80" w:after="200"/>
      </w:pPr>
      <w:r>
        <w:rPr>
          <w:rFonts w:ascii="Aptos" w:hAnsi="Aptos" w:cs="Aptos" w:eastAsia="Aptos"/>
          <w:i/>
          <w:color w:val="7A6A55"/>
          <w:sz w:val="21"/>
        </w:rPr>
        <w:t>Zehn Punkte, ein Blatt, wenige Minuten – einmal je Firma und Einsatz; Einweisung als Bedingung für Schlüssel und Zutritt</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3.9 (mit 3.8 zu Leih- und Fremdpersonal); Norm: Klausel 8.1.4 (8.1.4.2 Auftragnehmer) und 6.1.2.1.</w:t>
      </w:r>
    </w:p>
    <w:tbl>
      <w:tblPr>
        <w:tblW w:type="auto" w:w="0"/>
        <w:jc w:val="center"/>
        <w:tblLook w:firstColumn="1" w:firstRow="1" w:lastColumn="0" w:lastRow="0" w:noHBand="0" w:noVBand="1" w:val="04A0"/>
      </w:tblPr>
      <w:tblGrid>
        <w:gridCol w:w="9866"/>
      </w:tblGrid>
      <w:tr>
        <w:tc>
          <w:tcPr>
            <w:tcW w:type="dxa" w:w="9866"/>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val="0"/>
                <w:i w:val="0"/>
                <w:sz w:val="19"/>
              </w:rPr>
              <w:t>Das Haus hinterlegt das Blatt an der Pforte. Der Koordinator geht die zehn Punkte mündlich durch (etwa fünf Minuten) und trägt ein, was nur das Haus wissen kann. Eingewiesen wird die Person, nicht der Vertrag.</w:t>
            </w:r>
          </w:p>
          <w:p>
            <w:pPr>
              <w:spacing w:after="40"/>
              <w:ind w:left="340" w:hanging="340"/>
            </w:pPr>
            <w:r>
              <w:rPr>
                <w:rFonts w:ascii="Aptos" w:hAnsi="Aptos" w:cs="Aptos" w:eastAsia="Aptos"/>
                <w:b/>
                <w:i w:val="0"/>
                <w:color w:val="8C5A2B"/>
                <w:sz w:val="19"/>
              </w:rPr>
              <w:t xml:space="preserve">2.  </w:t>
            </w:r>
            <w:r>
              <w:rPr>
                <w:rFonts w:ascii="Aptos" w:hAnsi="Aptos" w:cs="Aptos" w:eastAsia="Aptos"/>
                <w:b w:val="0"/>
                <w:i w:val="0"/>
                <w:sz w:val="19"/>
              </w:rPr>
              <w:t>Kein Schlüssel und keine Zugangskarte ohne abgezeichnetes Blatt; beide Seiten zeichnen ab. Eine Handlung, kein Handbuch.</w:t>
            </w:r>
          </w:p>
          <w:p>
            <w:pPr>
              <w:spacing w:after="40"/>
              <w:ind w:left="340" w:hanging="340"/>
            </w:pPr>
            <w:r>
              <w:rPr>
                <w:rFonts w:ascii="Aptos" w:hAnsi="Aptos" w:cs="Aptos" w:eastAsia="Aptos"/>
                <w:b/>
                <w:i w:val="0"/>
                <w:color w:val="8C5A2B"/>
                <w:sz w:val="19"/>
              </w:rPr>
              <w:t xml:space="preserve">3.  </w:t>
            </w:r>
            <w:r>
              <w:rPr>
                <w:rFonts w:ascii="Aptos" w:hAnsi="Aptos" w:cs="Aptos" w:eastAsia="Aptos"/>
                <w:b w:val="0"/>
                <w:i w:val="0"/>
                <w:sz w:val="19"/>
              </w:rPr>
              <w:t>Bei besonderer Gefährdung ergänzt eine eingehendere, arbeitsplatzbezogene Unterweisung das Blatt (Teil 3).</w:t>
            </w:r>
          </w:p>
        </w:tc>
      </w:tr>
    </w:tbl>
    <w:p>
      <w:pPr>
        <w:spacing w:after="0"/>
      </w:pPr>
    </w:p>
    <w:p>
      <w:pPr>
        <w:keepNext/>
        <w:pageBreakBefore w:val="0"/>
        <w:spacing w:before="280" w:after="80"/>
        <w:pBdr>
          <w:bottom w:val="single" w:sz="6" w:space="2" w:color="C9BBA6"/>
        </w:pBdr>
      </w:pPr>
      <w:r>
        <w:rPr>
          <w:rFonts w:ascii="Aptos" w:hAnsi="Aptos" w:cs="Aptos" w:eastAsia="Aptos"/>
          <w:b/>
          <w:color w:val="8C5A2B"/>
          <w:sz w:val="28"/>
        </w:rPr>
        <w:t>1   Firma, Einsatz und Koordinator</w:t>
      </w:r>
    </w:p>
    <w:tbl>
      <w:tblPr>
        <w:tblLook w:firstColumn="1" w:firstRow="1" w:lastColumn="0" w:lastRow="0" w:noHBand="0" w:noVBand="1" w:val="04A0"/>
        <w:tblW w:w="9865" w:type="dxa"/>
        <w:tblLayout w:type="fixed"/>
      </w:tblPr>
      <w:tblGrid>
        <w:gridCol w:w="2041"/>
        <w:gridCol w:w="2891"/>
        <w:gridCol w:w="2041"/>
        <w:gridCol w:w="2891"/>
      </w:tblGrid>
      <w:tr>
        <w:trPr>
          <w:trHeight w:val="425" w:hRule="atLeast"/>
          <w:trHeight w:val="425" w:hRule="atLeast"/>
        </w:trPr>
        <w:tc>
          <w:tcPr>
            <w:tcW w:type="dxa" w:w="2041"/>
          </w:tcPr>
          <w:p>
            <w:pPr>
              <w:spacing w:after="20"/>
            </w:pPr>
            <w:r>
              <w:rPr>
                <w:rFonts w:ascii="Aptos" w:hAnsi="Aptos" w:cs="Aptos" w:eastAsia="Aptos"/>
                <w:b/>
                <w:i w:val="0"/>
                <w:color w:val="8C5A2B"/>
                <w:sz w:val="18"/>
              </w:rPr>
              <w:t>Firma</w:t>
            </w:r>
          </w:p>
        </w:tc>
        <w:tc>
          <w:tcPr>
            <w:tcW w:type="dxa" w:w="2891"/>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Verantwortliche/r der Firma</w:t>
            </w:r>
          </w:p>
        </w:tc>
        <w:tc>
          <w:tcPr>
            <w:tcW w:type="dxa" w:w="2891"/>
            <w:tcBorders>
              <w:bottom w:val="single" w:sz="6" w:space="0" w:color="C9BBA6"/>
            </w:tcBorders>
          </w:tcPr>
          <w:p>
            <w:pPr>
              <w:spacing w:after="20"/>
            </w:pPr>
          </w:p>
        </w:tc>
      </w:tr>
      <w:tr>
        <w:trPr>
          <w:trHeight w:val="425" w:hRule="atLeast"/>
          <w:trHeight w:val="425" w:hRule="atLeast"/>
        </w:trPr>
        <w:tc>
          <w:tcPr>
            <w:tcW w:type="dxa" w:w="2041"/>
          </w:tcPr>
          <w:p>
            <w:pPr>
              <w:spacing w:after="20"/>
            </w:pPr>
            <w:r>
              <w:rPr>
                <w:rFonts w:ascii="Aptos" w:hAnsi="Aptos" w:cs="Aptos" w:eastAsia="Aptos"/>
                <w:b/>
                <w:i w:val="0"/>
                <w:color w:val="8C5A2B"/>
                <w:sz w:val="18"/>
              </w:rPr>
              <w:t>Erreichbarkeit der Firma</w:t>
            </w:r>
          </w:p>
        </w:tc>
        <w:tc>
          <w:tcPr>
            <w:tcW w:type="dxa" w:w="2891"/>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Auftrag / Tätigkeit</w:t>
            </w:r>
          </w:p>
        </w:tc>
        <w:tc>
          <w:tcPr>
            <w:tcW w:type="dxa" w:w="2891"/>
            <w:tcBorders>
              <w:bottom w:val="single" w:sz="6" w:space="0" w:color="C9BBA6"/>
            </w:tcBorders>
          </w:tcPr>
          <w:p>
            <w:pPr>
              <w:spacing w:after="20"/>
            </w:pPr>
          </w:p>
        </w:tc>
      </w:tr>
      <w:tr>
        <w:trPr>
          <w:trHeight w:val="425" w:hRule="atLeast"/>
          <w:trHeight w:val="425" w:hRule="atLeast"/>
        </w:trPr>
        <w:tc>
          <w:tcPr>
            <w:tcW w:type="dxa" w:w="2041"/>
          </w:tcPr>
          <w:p>
            <w:pPr>
              <w:spacing w:after="20"/>
            </w:pPr>
            <w:r>
              <w:rPr>
                <w:rFonts w:ascii="Aptos" w:hAnsi="Aptos" w:cs="Aptos" w:eastAsia="Aptos"/>
                <w:b/>
                <w:i w:val="0"/>
                <w:color w:val="8C5A2B"/>
                <w:sz w:val="18"/>
              </w:rPr>
              <w:t>Bereich im Haus</w:t>
            </w:r>
          </w:p>
        </w:tc>
        <w:tc>
          <w:tcPr>
            <w:tcW w:type="dxa" w:w="2891"/>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Einsatzzeitraum / Zeitfenster</w:t>
            </w:r>
          </w:p>
        </w:tc>
        <w:tc>
          <w:tcPr>
            <w:tcW w:type="dxa" w:w="2891"/>
            <w:tcBorders>
              <w:bottom w:val="single" w:sz="6" w:space="0" w:color="C9BBA6"/>
            </w:tcBorders>
          </w:tcPr>
          <w:p>
            <w:pPr>
              <w:spacing w:after="20"/>
            </w:pPr>
          </w:p>
        </w:tc>
      </w:tr>
      <w:tr>
        <w:trPr>
          <w:trHeight w:val="425" w:hRule="atLeast"/>
          <w:trHeight w:val="425" w:hRule="atLeast"/>
        </w:trPr>
        <w:tc>
          <w:tcPr>
            <w:tcW w:type="dxa" w:w="2041"/>
          </w:tcPr>
          <w:p>
            <w:pPr>
              <w:spacing w:after="20"/>
            </w:pPr>
            <w:r>
              <w:rPr>
                <w:rFonts w:ascii="Aptos" w:hAnsi="Aptos" w:cs="Aptos" w:eastAsia="Aptos"/>
                <w:b/>
                <w:i w:val="0"/>
                <w:color w:val="8C5A2B"/>
                <w:sz w:val="18"/>
              </w:rPr>
              <w:t>Besteller im Haus</w:t>
            </w:r>
          </w:p>
        </w:tc>
        <w:tc>
          <w:tcPr>
            <w:tcW w:type="dxa" w:w="2891"/>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Koordinator des Hauses</w:t>
            </w:r>
          </w:p>
        </w:tc>
        <w:tc>
          <w:tcPr>
            <w:tcW w:type="dxa" w:w="2891"/>
            <w:tcBorders>
              <w:bottom w:val="single" w:sz="6" w:space="0" w:color="C9BBA6"/>
            </w:tcBorders>
          </w:tcPr>
          <w:p>
            <w:pPr>
              <w:spacing w:after="20"/>
            </w:pPr>
          </w:p>
        </w:tc>
      </w:tr>
      <w:tr>
        <w:trPr>
          <w:trHeight w:val="425" w:hRule="atLeast"/>
          <w:trHeight w:val="425" w:hRule="atLeast"/>
        </w:trPr>
        <w:tc>
          <w:tcPr>
            <w:tcW w:type="dxa" w:w="2041"/>
          </w:tcPr>
          <w:p>
            <w:pPr>
              <w:spacing w:after="20"/>
            </w:pPr>
            <w:r>
              <w:rPr>
                <w:rFonts w:ascii="Aptos" w:hAnsi="Aptos" w:cs="Aptos" w:eastAsia="Aptos"/>
                <w:b/>
                <w:i w:val="0"/>
                <w:color w:val="8C5A2B"/>
                <w:sz w:val="18"/>
              </w:rPr>
              <w:t>Erreichbarkeit (auch nachts)</w:t>
            </w:r>
          </w:p>
        </w:tc>
        <w:tc>
          <w:tcPr>
            <w:tcW w:type="dxa" w:w="2891"/>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Zahl der Personen im Haus</w:t>
            </w:r>
          </w:p>
        </w:tc>
        <w:tc>
          <w:tcPr>
            <w:tcW w:type="dxa" w:w="2891"/>
            <w:tcBorders>
              <w:bottom w:val="single" w:sz="6" w:space="0" w:color="C9BBA6"/>
            </w:tcBorders>
          </w:tcPr>
          <w:p>
            <w:pPr>
              <w:spacing w:after="20"/>
            </w:pPr>
          </w:p>
        </w:tc>
      </w:tr>
    </w:tbl>
    <w:p>
      <w:pPr>
        <w:spacing w:after="0"/>
      </w:pPr>
    </w:p>
    <w:p>
      <w:pPr>
        <w:keepNext/>
        <w:pageBreakBefore w:val="0"/>
        <w:spacing w:before="280" w:after="80"/>
        <w:pBdr>
          <w:bottom w:val="single" w:sz="6" w:space="2" w:color="C9BBA6"/>
        </w:pBdr>
      </w:pPr>
      <w:r>
        <w:rPr>
          <w:rFonts w:ascii="Aptos" w:hAnsi="Aptos" w:cs="Aptos" w:eastAsia="Aptos"/>
          <w:b/>
          <w:color w:val="8C5A2B"/>
          <w:sz w:val="28"/>
        </w:rPr>
        <w:t>2   Die zehn Punkte</w:t>
      </w:r>
    </w:p>
    <w:tbl>
      <w:tblPr>
        <w:jc w:val="center"/>
        <w:tblLook w:firstColumn="1" w:firstRow="1" w:lastColumn="0" w:lastRow="0" w:noHBand="0" w:noVBand="1" w:val="04A0"/>
        <w:tblW w:w="9865" w:type="dxa"/>
        <w:tblLayout w:type="fixed"/>
      </w:tblPr>
      <w:tblGrid>
        <w:gridCol w:w="453"/>
        <w:gridCol w:w="2835"/>
        <w:gridCol w:w="2494"/>
        <w:gridCol w:w="3288"/>
        <w:gridCol w:w="793"/>
      </w:tblGrid>
      <w:tr>
        <w:trPr>
          <w:tblHeader w:val="true"/>
        </w:trPr>
        <w:tc>
          <w:tcPr>
            <w:tcW w:type="dxa" w:w="45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Nr.</w:t>
            </w:r>
          </w:p>
        </w:tc>
        <w:tc>
          <w:tcPr>
            <w:tcW w:type="dxa" w:w="283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Punkt (Buch)</w:t>
            </w:r>
          </w:p>
        </w:tc>
        <w:tc>
          <w:tcPr>
            <w:tcW w:type="dxa" w:w="24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Warum (Buch)</w:t>
            </w:r>
          </w:p>
        </w:tc>
        <w:tc>
          <w:tcPr>
            <w:tcW w:type="dxa" w:w="328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Angabe des Hauses</w:t>
            </w:r>
          </w:p>
        </w:tc>
        <w:tc>
          <w:tcPr>
            <w:tcW w:type="dxa" w:w="7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bespr.</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Wo sind die Fluchtwege dieses Bereichs</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Der Grundriss ist für Fremde nicht selbsterklärend</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Fluchtwege:</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Wo ist der Sammelplatz</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Er ändert sich bei Umbauten – und niemand sagt es weiter</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Sammelplatz:</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Wie wird alarmiert, und wen erreicht man nachts</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Die Telefonkette ist hausintern</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Alarm / Nummer (Tag / Nacht):</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Welche Bereiche sind gesperrt</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Gastbereiche, Küche in Betrieb, Technikräume</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Gesperrt:</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Wo darf gelagert werden – und wo nicht</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Fluchtwege und Treppenhäuser sind keine Lagerflächen</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Lagerfläche:</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6</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Welche Zeitfenster gelten für lärmende Arbeiten</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Nachtschicht, Gastruhe, Veranstaltungen</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Zeitfenster:</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7</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Wer ist der Koordinator des Hauses, und wie erreicht man ihn</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Ohne Namen keine Koordination</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Name / Nummer:</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8</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Wie viele Personen sind im Haus, und wie meldet man sie</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Im Alarmfall zählt jemand Köpfe</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Meldung an / wie:</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9</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Was ist im Brandfall zu tun – und was nicht</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Brandschutztüren, Heißarbeiten, Rauchverbote</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Besprochen:</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r>
        <w:trPr>
          <w:cantSplit w:val="true"/>
          <w:trHeight w:val="538" w:hRule="atLeast"/>
        </w:trPr>
        <w:tc>
          <w:tcPr>
            <w:tcW w:type="dxa" w:w="4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10</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Wer darf die Arbeit stoppen</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Das Abbruchrecht wirkt nur, wenn beide es kennen</w:t>
            </w:r>
          </w:p>
        </w:tc>
        <w:tc>
          <w:tcPr>
            <w:tcW w:type="dxa" w:w="328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Abbruchrecht des Hauses bei unmittelbarer Gefahr:</w:t>
            </w:r>
          </w:p>
          <w:p>
            <w:pPr>
              <w:spacing w:after="20" w:line="252" w:lineRule="auto"/>
            </w:pPr>
            <w:r>
              <w:rPr>
                <w:rFonts w:ascii="Aptos" w:hAnsi="Aptos" w:cs="Aptos" w:eastAsia="Aptos"/>
                <w:b w:val="0"/>
                <w:i w:val="0"/>
                <w:sz w:val="17"/>
              </w:rPr>
            </w:r>
          </w:p>
        </w:tc>
        <w:tc>
          <w:tcPr>
            <w:tcW w:type="dxa" w:w="7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w:t>
            </w:r>
          </w:p>
        </w:tc>
      </w:tr>
    </w:tbl>
    <w:p>
      <w:r>
        <w:rPr>
          <w:rFonts w:ascii="Aptos" w:hAnsi="Aptos" w:cs="Aptos" w:eastAsia="Aptos"/>
          <w:b w:val="0"/>
          <w:i/>
          <w:color w:val="7A6A55"/>
          <w:sz w:val="17"/>
        </w:rPr>
        <w:t>Der letzte Punkt gehört zugleich in den Vertrag, nicht erst in den Konfliktfall: Wer erst im Moment der Gefahr darüber verhandeln muss, ob er stoppen darf, stoppt nicht.</w:t>
      </w:r>
    </w:p>
    <w:p>
      <w:pPr>
        <w:keepNext/>
        <w:pageBreakBefore w:val="0"/>
        <w:spacing w:before="280" w:after="80"/>
        <w:pBdr>
          <w:bottom w:val="single" w:sz="6" w:space="2" w:color="C9BBA6"/>
        </w:pBdr>
      </w:pPr>
      <w:r>
        <w:rPr>
          <w:rFonts w:ascii="Aptos" w:hAnsi="Aptos" w:cs="Aptos" w:eastAsia="Aptos"/>
          <w:b/>
          <w:color w:val="8C5A2B"/>
          <w:sz w:val="28"/>
        </w:rPr>
        <w:t>3   Ergänzungen nach Art der Arbeit</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Eingehendere, arbeitsplatzbezogene Unterweisung erforderlich (besondere Gefährdung):   ☐ nein   ☐ ja, durchgeführt von: ______________________</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Heißarbeiten (Schweißen, Trennschleifen, Löten, Heißkleben, Abflammen):   ☐ nicht vorgesehen   ☐ nur mit schriftlicher Freigabe (Erlaubnisschein), siehe Teil 5</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Der Gast ist mitgedacht (drei Regeln): kein Arbeitsmittel unbeaufsichtigt im Gastbereich (keine Leiter, kein Werkzeug, kein offener Kanister, auch nicht für fünf Minuten); Absperrungen verständlich für Menschen, die kein Baustellenzeichen lesen (Hinweis in zwei Sprachen, Umleitung); keine Arbeiten über Kopfhöhe, während darunter Gäste gehen.</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Bau und Sanierung: Das Haus ist Bauherr – gesetzlich vorgesehene Koordination bestellt bzw. geprüft (Deutschland: BaustellV; Österreich: BauKG; Schweiz: BauAV – je nach Vorhaben):   ☐ ja   ☐ nicht erforderlich   ☐ zu klären</w:t>
      </w:r>
    </w:p>
    <w:p>
      <w:pPr>
        <w:keepNext/>
        <w:pageBreakBefore w:val="0"/>
        <w:spacing w:before="280" w:after="80"/>
        <w:pBdr>
          <w:bottom w:val="single" w:sz="6" w:space="2" w:color="C9BBA6"/>
        </w:pBdr>
      </w:pPr>
      <w:r>
        <w:rPr>
          <w:rFonts w:ascii="Aptos" w:hAnsi="Aptos" w:cs="Aptos" w:eastAsia="Aptos"/>
          <w:b/>
          <w:color w:val="8C5A2B"/>
          <w:sz w:val="28"/>
        </w:rPr>
        <w:t>4   Eingewiesene Personen, Zutritt und Abzeichnung</w:t>
      </w:r>
    </w:p>
    <w:tbl>
      <w:tblPr>
        <w:jc w:val="center"/>
        <w:tblLook w:firstColumn="1" w:firstRow="1" w:lastColumn="0" w:lastRow="0" w:noHBand="0" w:noVBand="1" w:val="04A0"/>
        <w:tblW w:w="9865" w:type="dxa"/>
        <w:tblLayout w:type="fixed"/>
      </w:tblPr>
      <w:tblGrid>
        <w:gridCol w:w="2778"/>
        <w:gridCol w:w="1814"/>
        <w:gridCol w:w="1134"/>
        <w:gridCol w:w="1587"/>
        <w:gridCol w:w="1304"/>
        <w:gridCol w:w="1247"/>
      </w:tblGrid>
      <w:tr>
        <w:trPr>
          <w:tblHeader w:val="true"/>
        </w:trPr>
        <w:tc>
          <w:tcPr>
            <w:tcW w:type="dxa" w:w="277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Name der eingewiesenen Person</w:t>
            </w:r>
          </w:p>
        </w:tc>
        <w:tc>
          <w:tcPr>
            <w:tcW w:type="dxa" w:w="181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Funktion</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Datum</w:t>
            </w:r>
          </w:p>
        </w:tc>
        <w:tc>
          <w:tcPr>
            <w:tcW w:type="dxa" w:w="158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Schlüssel / Karte Nr.</w:t>
            </w:r>
          </w:p>
        </w:tc>
        <w:tc>
          <w:tcPr>
            <w:tcW w:type="dxa" w:w="130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Ausgabe</w:t>
            </w:r>
          </w:p>
        </w:tc>
        <w:tc>
          <w:tcPr>
            <w:tcW w:type="dxa" w:w="124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Rückgabe</w:t>
            </w:r>
          </w:p>
        </w:tc>
      </w:tr>
      <w:tr>
        <w:trPr>
          <w:cantSplit w:val="true"/>
          <w:trHeight w:val="453" w:hRule="atLeast"/>
        </w:trPr>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40"/>
      </w:pP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Schlüssel und Zugangskarten werden erst nach abgezeichnetem Blatt ausgegeben (Einweisung als Bedingung für den Zutritt).</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Zustimmung der Firma zu Einweisung und Abbruchrecht (Vertragsbestandteil):   ☐ liegt vor   ☐ fehlt;   Meldepflicht für eigene Vorfälle im Haus (Vertragsbestandteil):   ☐ liegt vor   ☐ fehlt</w:t>
      </w:r>
    </w:p>
    <w:tbl>
      <w:tblPr>
        <w:tblLook w:firstColumn="1" w:firstRow="1" w:lastColumn="0" w:lastRow="0" w:noHBand="0" w:noVBand="1" w:val="04A0"/>
        <w:tblW w:w="9865" w:type="dxa"/>
        <w:tblLayout w:type="fixed"/>
      </w:tblPr>
      <w:tblGrid>
        <w:gridCol w:w="2268"/>
        <w:gridCol w:w="2664"/>
        <w:gridCol w:w="2268"/>
        <w:gridCol w:w="2664"/>
      </w:tblGrid>
      <w:tr>
        <w:trPr>
          <w:trHeight w:val="425" w:hRule="atLeast"/>
          <w:trHeight w:val="425" w:hRule="atLeast"/>
        </w:trPr>
        <w:tc>
          <w:tcPr>
            <w:tcW w:type="dxa" w:w="2268"/>
          </w:tcPr>
          <w:p>
            <w:pPr>
              <w:spacing w:after="20"/>
            </w:pPr>
            <w:r>
              <w:rPr>
                <w:rFonts w:ascii="Aptos" w:hAnsi="Aptos" w:cs="Aptos" w:eastAsia="Aptos"/>
                <w:b/>
                <w:i w:val="0"/>
                <w:color w:val="8C5A2B"/>
                <w:sz w:val="18"/>
              </w:rPr>
              <w:t>Koordinator des Hauses (Datum, Unterschrift)</w:t>
            </w:r>
          </w:p>
        </w:tc>
        <w:tc>
          <w:tcPr>
            <w:tcW w:type="dxa" w:w="2665"/>
            <w:tcBorders>
              <w:bottom w:val="single" w:sz="6" w:space="0" w:color="C9BBA6"/>
            </w:tcBorders>
          </w:tcPr>
          <w:p>
            <w:pPr>
              <w:spacing w:after="20"/>
            </w:pPr>
          </w:p>
        </w:tc>
        <w:tc>
          <w:tcPr>
            <w:tcW w:type="dxa" w:w="2268"/>
          </w:tcPr>
          <w:p>
            <w:pPr>
              <w:spacing w:after="20"/>
            </w:pPr>
            <w:r>
              <w:rPr>
                <w:rFonts w:ascii="Aptos" w:hAnsi="Aptos" w:cs="Aptos" w:eastAsia="Aptos"/>
                <w:b/>
                <w:i w:val="0"/>
                <w:color w:val="8C5A2B"/>
                <w:sz w:val="18"/>
              </w:rPr>
              <w:t>Verantwortliche/r der Firma (Datum, Unterschrift)</w:t>
            </w:r>
          </w:p>
        </w:tc>
        <w:tc>
          <w:tcPr>
            <w:tcW w:type="dxa" w:w="2665"/>
            <w:tcBorders>
              <w:bottom w:val="single" w:sz="6" w:space="0" w:color="C9BBA6"/>
            </w:tcBorders>
          </w:tcPr>
          <w:p>
            <w:pPr>
              <w:spacing w:after="20"/>
            </w:pPr>
          </w:p>
        </w:tc>
      </w:tr>
    </w:tbl>
    <w:p>
      <w:pPr>
        <w:spacing w:after="0"/>
      </w:pPr>
    </w:p>
    <w:p>
      <w:pPr>
        <w:keepNext/>
        <w:pageBreakBefore/>
        <w:spacing w:before="280" w:after="80"/>
        <w:pBdr>
          <w:bottom w:val="single" w:sz="6" w:space="2" w:color="C9BBA6"/>
        </w:pBdr>
      </w:pPr>
      <w:r>
        <w:rPr>
          <w:rFonts w:ascii="Aptos" w:hAnsi="Aptos" w:cs="Aptos" w:eastAsia="Aptos"/>
          <w:b/>
          <w:color w:val="8C5A2B"/>
          <w:sz w:val="28"/>
        </w:rPr>
        <w:t>5   Nur bei Heißarbeiten: Freigabe mit sechs Punkten</w:t>
      </w:r>
    </w:p>
    <w:tbl>
      <w:tblPr>
        <w:jc w:val="center"/>
        <w:tblLook w:firstColumn="1" w:firstRow="1" w:lastColumn="0" w:lastRow="0" w:noHBand="0" w:noVBand="1" w:val="04A0"/>
        <w:tblW w:w="9865" w:type="dxa"/>
        <w:tblLayout w:type="fixed"/>
      </w:tblPr>
      <w:tblGrid>
        <w:gridCol w:w="2268"/>
        <w:gridCol w:w="4195"/>
        <w:gridCol w:w="3402"/>
      </w:tblGrid>
      <w:tr>
        <w:trPr>
          <w:tblHeader w:val="true"/>
        </w:trPr>
        <w:tc>
          <w:tcPr>
            <w:tcW w:type="dxa" w:w="226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Punkt der Freigabe</w:t>
            </w:r>
          </w:p>
        </w:tc>
        <w:tc>
          <w:tcPr>
            <w:tcW w:type="dxa" w:w="419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zu regeln ist (Buch)</w:t>
            </w:r>
          </w:p>
        </w:tc>
        <w:tc>
          <w:tcPr>
            <w:tcW w:type="dxa" w:w="340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Festlegung</w:t>
            </w:r>
          </w:p>
        </w:tc>
      </w:tr>
      <w:tr>
        <w:trPr>
          <w:cantSplit w:val="true"/>
          <w:trHeight w:val="425"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Ort und Zeit</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Genaue Stelle, Beginn, Ende – nicht während Veranstaltungen oder Nachtruhe</w:t>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25"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Brandlasten entfernen</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Textilien, Möbel, Vorhänge, Reinigungsmittel</w:t>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25"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Brandmeldeanlage</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Abschaltung nur mit Ersatzmaßnahme und Rückschaltung</w:t>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nicht abgeschaltet  ☐ abgeschaltet, Rückschaltung am:</w:t>
            </w:r>
          </w:p>
        </w:tc>
      </w:tr>
      <w:tr>
        <w:trPr>
          <w:cantSplit w:val="true"/>
          <w:trHeight w:val="425"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Brandwache während der Arbeit</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Benannte Person, Löschmittel vor Ort – nicht der Arbeitende selbst</w:t>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Name:</w:t>
            </w:r>
          </w:p>
        </w:tc>
      </w:tr>
      <w:tr>
        <w:trPr>
          <w:cantSplit w:val="true"/>
          <w:trHeight w:val="425"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Nachkontrolle</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Mehrfach nach Arbeitsende, festgelegte Dauer (Schwelbrände zeigen sich verzögert)</w:t>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Dauer / Zeiten:</w:t>
            </w:r>
          </w:p>
        </w:tc>
      </w:tr>
      <w:tr>
        <w:trPr>
          <w:cantSplit w:val="true"/>
          <w:trHeight w:val="425"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Rückgabe der Freigabe</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color w:val="7A6A55"/>
                <w:sz w:val="17"/>
              </w:rPr>
              <w:t>Schriftliche Bestätigung an den Koordinator</w:t>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Datum / Zeit:</w:t>
            </w:r>
          </w:p>
        </w:tc>
      </w:tr>
    </w:tbl>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In der Schichtübergabe eingetragen, wo tagsüber mit Feuer oder Funken gearbeitet wurde (damit die Nachtschicht es weiß).</w:t>
      </w:r>
    </w:p>
    <w:p>
      <w:pPr>
        <w:keepNext/>
        <w:pageBreakBefore w:val="0"/>
        <w:spacing w:before="280" w:after="80"/>
        <w:pBdr>
          <w:bottom w:val="single" w:sz="6" w:space="2" w:color="C9BBA6"/>
        </w:pBdr>
      </w:pPr>
      <w:r>
        <w:rPr>
          <w:rFonts w:ascii="Aptos" w:hAnsi="Aptos" w:cs="Aptos" w:eastAsia="Aptos"/>
          <w:b/>
          <w:color w:val="8C5A2B"/>
          <w:sz w:val="28"/>
        </w:rPr>
        <w:t>6   Danach: Abstimmung und Bewertung</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Während der Arbeiten (Projekte): kurze Abstimmung zwischen Koordinator und Bauleitung (was, wo, mit welchem Lärm, welche Wege, wie viele Personen) – Ergebnis an Empfang, Etage und Nachtdienst.</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In der Leitungsrunde / Übergabe: „Welche Fremdfirmen sind diese Woche im Haus?"</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Nach Abschluss: Bewertung der Firma (halbe Seite), Ergebnis fließt in die Lieferantenbewertung ein und entscheidet über die Wiederbeauftragung. Ergebnis / Datum: ________________________</w:t>
      </w:r>
    </w:p>
    <w:p>
      <w:pPr>
        <w:keepNext/>
        <w:spacing w:before="160" w:after="60"/>
      </w:pPr>
      <w:r>
        <w:rPr>
          <w:rFonts w:ascii="Aptos" w:hAnsi="Aptos" w:cs="Aptos" w:eastAsia="Aptos"/>
          <w:b/>
          <w:color w:val="8C5A2B"/>
          <w:sz w:val="23"/>
        </w:rPr>
        <w:t>Rechtlicher Rahmen laut Buch (verbindlich ist die jeweils gültige Fassung)</w:t>
      </w:r>
    </w:p>
    <w:p>
      <w:pPr>
        <w:jc w:val="both"/>
      </w:pPr>
      <w:r>
        <w:rPr>
          <w:rFonts w:ascii="Aptos" w:hAnsi="Aptos" w:cs="Aptos" w:eastAsia="Aptos"/>
          <w:b w:val="0"/>
          <w:i w:val="0"/>
          <w:sz w:val="18"/>
        </w:rPr>
        <w:t>Mehrere Arbeitgeber an einem Ort – Deutschland: § 8 ArbSchG, DGUV Vorschrift 1 § 6; Österreich: § 8 ASchG (Koordination; Information und Unterweisung); Schweiz: Art. 9 VUV (Zusammenarbeit mehrerer Betriebe). Bauarbeiten, Pflichten des Bauherrn je nach Vorhaben: BaustellV (Vorankündigung, SiGe-Plan, SiGeKo), BauKG (Planungs- und Baustellenkoordinator), BauAV (Planungspflicht und Koordination). Leiharbeit: AÜG (Einsatzbetrieb bzw. Beschäftigerbetrieb trägt die arbeitsplatzbezogenen Pflichten), in der Schweiz AVG. Das Haus verliert bei Fremdfirmen nicht die Verantwortung, sondern nur das Weisungsrecht über die Arbeitsausführung; es behält Zutritt, Zeitfenster, Bereichsfreigabe und das Abbruchrecht. Norm: Es gilt die ISO 45001:2018, im deutschsprachigen Raum national übernommen (DIN EN ISO 45001:2023-12, ÖNORM EN ISO 45001:2023-12-01, SN EN ISO 45001:2023) und ergänzt um Amd 1:2024 (Klima). Der Entwurf ISO/DIS 45001 ist keine geltende Anforderung; eine ISO 45001:2026 existiert nicht (Abschnitte 3.1 und 4.13).</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Dieses Blatt ersetzt weder die Norm noch eine Rechtsberatung, weder die Koordination nach dem Recht des jeweiligen Landes (bei Bauvorhaben je nach Vorhaben zusätzlich) noch die Gefährdungsbeurteilung des konkreten Einsatzes und das Urteil der Zertifizierungsstelle. Es ist eine Einweisung, kein Fremdfirmenhandbuch, und keine Prüfung der Fremdfirma: Das fremde Personal wird nicht auditiert. Verbindlich ist die jeweils gültige Fassung von Gesetz und Norm.</w:t>
      </w:r>
    </w:p>
    <w:sectPr w:rsidR="00FC693F" w:rsidRPr="0006063C" w:rsidSect="00034616">
      <w:footerReference w:type="default" r:id="rId9"/>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