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ptos" w:hAnsi="Aptos" w:cs="Aptos" w:eastAsia="Aptos"/>
          <w:b/>
          <w:color w:val="7A6A55"/>
          <w:sz w:val="17"/>
        </w:rPr>
        <w:t>VORLAGE ZU ABSCHNITT 4.13 DES BANDES 3B</w:t>
      </w:r>
    </w:p>
    <w:p>
      <w:pPr>
        <w:spacing w:after="60"/>
        <w:pBdr>
          <w:bottom w:val="single" w:sz="8" w:space="4" w:color="C9BBA6"/>
        </w:pBdr>
      </w:pPr>
      <w:r>
        <w:rPr>
          <w:rFonts w:ascii="Aptos" w:hAnsi="Aptos" w:cs="Aptos" w:eastAsia="Aptos"/>
          <w:b/>
          <w:color w:val="8C5A2B"/>
          <w:sz w:val="42"/>
        </w:rPr>
        <w:t>Unsere Normlage — die halbe Seite</w:t>
      </w:r>
    </w:p>
    <w:p>
      <w:pPr>
        <w:spacing w:before="80" w:after="200"/>
      </w:pPr>
      <w:r>
        <w:rPr>
          <w:rFonts w:ascii="Aptos" w:hAnsi="Aptos" w:cs="Aptos" w:eastAsia="Aptos"/>
          <w:i/>
          <w:color w:val="7A6A55"/>
          <w:sz w:val="21"/>
        </w:rPr>
        <w:t>Was gilt, was erwartet wird, was Spekulation ist — und wer uns verbindlich Auskunft gibt</w:t>
      </w:r>
    </w:p>
    <w:p>
      <w:r>
        <w:rPr>
          <w:rFonts w:ascii="Aptos" w:hAnsi="Aptos" w:cs="Aptos" w:eastAsia="Aptos"/>
          <w:b w:val="0"/>
          <w:i w:val="0"/>
          <w:color w:val="7A6A55"/>
          <w:sz w:val="19"/>
        </w:rPr>
        <w:t>Bezug im Buch: Abschnitt 4.13 (mit Vorwort «Zur Normlage», 3.1, 4.10 und 4.12).</w:t>
      </w:r>
    </w:p>
    <w:tbl>
      <w:tblPr>
        <w:tblW w:type="auto" w:w="0"/>
        <w:jc w:val="center"/>
        <w:tblLook w:firstColumn="1" w:firstRow="1" w:lastColumn="0" w:lastRow="0" w:noHBand="0" w:noVBand="1" w:val="04A0"/>
      </w:tblPr>
      <w:tblGrid>
        <w:gridCol w:w="9638"/>
      </w:tblGrid>
      <w:tr>
        <w:tc>
          <w:tcPr>
            <w:tcW w:type="dxa" w:w="9638"/>
            <w:shd w:val="clear" w:color="auto" w:fill="EFE7DC"/>
            <w:tcBorders>
              <w:left w:val="single" w:sz="24" w:space="0" w:color="8C5A2B"/>
            </w:tcBorders>
          </w:tcPr>
          <w:p>
            <w:pPr>
              <w:spacing w:after="40"/>
            </w:pPr>
            <w:r>
              <w:rPr>
                <w:rFonts w:ascii="Aptos" w:hAnsi="Aptos" w:cs="Aptos" w:eastAsia="Aptos"/>
                <w:b/>
                <w:i w:val="0"/>
                <w:color w:val="8C5A2B"/>
                <w:sz w:val="21"/>
              </w:rPr>
              <w:t>So nutzen Sie diese Vorlage</w:t>
            </w:r>
          </w:p>
          <w:p>
            <w:pPr>
              <w:spacing w:after="40"/>
            </w:pPr>
            <w:r>
              <w:rPr>
                <w:rFonts w:ascii="Aptos" w:hAnsi="Aptos" w:cs="Aptos" w:eastAsia="Aptos"/>
                <w:b w:val="0"/>
                <w:i w:val="0"/>
                <w:sz w:val="20"/>
              </w:rPr>
              <w:t>Ein Hilfsmittel für den Blick, kein Ablagestück. Wer weiß, welche Fassung gilt, wo sie steht und wer Auskunft gibt, ist nicht auf das angewiesen, was Anbieter zutragen. Die halbe Seite unten hält das fest; sie wird einmal jährlich geprüft und liegt bei Direktion und Fachkraft. Der Aufwand: ein halber Tag einmalig, danach zwanzig Minuten. Sie ist keine Vorbereitung auf eine Norm, die es noch nicht gibt.</w:t>
            </w:r>
          </w:p>
        </w:tc>
      </w:tr>
    </w:tbl>
    <w:p>
      <w:pPr>
        <w:spacing w:after="40"/>
      </w:pPr>
    </w:p>
    <w:p>
      <w:pPr>
        <w:keepNext/>
        <w:pageBreakBefore w:val="0"/>
        <w:spacing w:before="280" w:after="80"/>
        <w:pBdr>
          <w:bottom w:val="single" w:sz="6" w:space="2" w:color="C9BBA6"/>
        </w:pBdr>
      </w:pPr>
      <w:r>
        <w:rPr>
          <w:rFonts w:ascii="Aptos" w:hAnsi="Aptos" w:cs="Aptos" w:eastAsia="Aptos"/>
          <w:b/>
          <w:color w:val="8C5A2B"/>
          <w:sz w:val="28"/>
        </w:rPr>
        <w:t>Die halbe Seite</w:t>
      </w:r>
    </w:p>
    <w:tbl>
      <w:tblPr>
        <w:tblW w:type="auto" w:w="0"/>
        <w:tblLayout w:type="fixed"/>
        <w:tblLook w:firstColumn="1" w:firstRow="1" w:lastColumn="0" w:lastRow="0" w:noHBand="0" w:noVBand="1" w:val="04A0"/>
      </w:tblPr>
      <w:tblGrid>
        <w:gridCol w:w="2409"/>
        <w:gridCol w:w="2409"/>
        <w:gridCol w:w="2409"/>
        <w:gridCol w:w="2409"/>
      </w:tblGrid>
      <w:tr>
        <w:tc>
          <w:tcPr>
            <w:tcW w:type="dxa" w:w="1814"/>
          </w:tcPr>
          <w:p>
            <w:pPr>
              <w:spacing w:after="20"/>
            </w:pPr>
            <w:r>
              <w:rPr>
                <w:rFonts w:ascii="Aptos" w:hAnsi="Aptos" w:cs="Aptos" w:eastAsia="Aptos"/>
                <w:b/>
                <w:i w:val="0"/>
                <w:color w:val="8C5A2B"/>
                <w:sz w:val="19"/>
              </w:rPr>
              <w:t>Haus / Standort</w:t>
            </w:r>
          </w:p>
        </w:tc>
        <w:tc>
          <w:tcPr>
            <w:tcW w:type="dxa" w:w="3005"/>
            <w:tcBorders>
              <w:bottom w:val="single" w:sz="6" w:space="0" w:color="C9BBA6"/>
            </w:tcBorders>
          </w:tcPr>
          <w:p>
            <w:pPr>
              <w:spacing w:after="20"/>
            </w:pPr>
          </w:p>
        </w:tc>
        <w:tc>
          <w:tcPr>
            <w:tcW w:type="dxa" w:w="1814"/>
          </w:tcPr>
          <w:p>
            <w:pPr>
              <w:spacing w:after="20"/>
            </w:pPr>
            <w:r>
              <w:rPr>
                <w:rFonts w:ascii="Aptos" w:hAnsi="Aptos" w:cs="Aptos" w:eastAsia="Aptos"/>
                <w:b/>
                <w:i w:val="0"/>
                <w:color w:val="8C5A2B"/>
                <w:sz w:val="19"/>
              </w:rPr>
              <w:t>Stand vom</w:t>
            </w:r>
          </w:p>
        </w:tc>
        <w:tc>
          <w:tcPr>
            <w:tcW w:type="dxa" w:w="3005"/>
            <w:tcBorders>
              <w:bottom w:val="single" w:sz="6" w:space="0" w:color="C9BBA6"/>
            </w:tcBorders>
          </w:tcPr>
          <w:p>
            <w:pPr>
              <w:spacing w:after="20"/>
            </w:pPr>
          </w:p>
        </w:tc>
      </w:tr>
      <w:tr>
        <w:tc>
          <w:tcPr>
            <w:tcW w:type="dxa" w:w="1814"/>
          </w:tcPr>
          <w:p>
            <w:pPr>
              <w:spacing w:after="20"/>
            </w:pPr>
            <w:r>
              <w:rPr>
                <w:rFonts w:ascii="Aptos" w:hAnsi="Aptos" w:cs="Aptos" w:eastAsia="Aptos"/>
                <w:b/>
                <w:i w:val="0"/>
                <w:color w:val="8C5A2B"/>
                <w:sz w:val="19"/>
              </w:rPr>
              <w:t>Geprüft von</w:t>
            </w:r>
          </w:p>
        </w:tc>
        <w:tc>
          <w:tcPr>
            <w:tcW w:type="dxa" w:w="3005"/>
            <w:tcBorders>
              <w:bottom w:val="single" w:sz="6" w:space="0" w:color="C9BBA6"/>
            </w:tcBorders>
          </w:tcPr>
          <w:p>
            <w:pPr>
              <w:spacing w:after="20"/>
            </w:pPr>
          </w:p>
        </w:tc>
        <w:tc>
          <w:tcPr>
            <w:tcW w:type="dxa" w:w="1814"/>
          </w:tcPr>
          <w:p>
            <w:pPr>
              <w:spacing w:after="20"/>
            </w:pPr>
            <w:r>
              <w:rPr>
                <w:rFonts w:ascii="Aptos" w:hAnsi="Aptos" w:cs="Aptos" w:eastAsia="Aptos"/>
                <w:b/>
                <w:i w:val="0"/>
                <w:color w:val="8C5A2B"/>
                <w:sz w:val="19"/>
              </w:rPr>
              <w:t>Nächste Prüfung (jährlich)</w:t>
            </w:r>
          </w:p>
        </w:tc>
        <w:tc>
          <w:tcPr>
            <w:tcW w:type="dxa" w:w="3005"/>
            <w:tcBorders>
              <w:bottom w:val="single" w:sz="6" w:space="0" w:color="C9BBA6"/>
            </w:tcBorders>
          </w:tcPr>
          <w:p>
            <w:pPr>
              <w:spacing w:after="20"/>
            </w:pPr>
          </w:p>
        </w:tc>
      </w:tr>
    </w:tbl>
    <w:p>
      <w:pPr>
        <w:spacing w:after="60"/>
      </w:pPr>
    </w:p>
    <w:tbl>
      <w:tblPr>
        <w:tblW w:type="auto" w:w="0"/>
        <w:jc w:val="center"/>
        <w:tblLayout w:type="fixed"/>
        <w:tblLook w:firstColumn="1" w:firstRow="1" w:lastColumn="0" w:lastRow="0" w:noHBand="0" w:noVBand="1" w:val="04A0"/>
      </w:tblPr>
      <w:tblGrid>
        <w:gridCol w:w="1928"/>
        <w:gridCol w:w="5443"/>
        <w:gridCol w:w="2268"/>
      </w:tblGrid>
      <w:tr>
        <w:trPr>
          <w:tblHeader w:val="true"/>
        </w:trPr>
        <w:tc>
          <w:tcPr>
            <w:tcW w:type="dxa" w:w="192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Einordnung</w:t>
            </w:r>
          </w:p>
        </w:tc>
        <w:tc>
          <w:tcPr>
            <w:tcW w:type="dxa" w:w="5443"/>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Inhalt (laut Band)</w:t>
            </w:r>
          </w:p>
        </w:tc>
        <w:tc>
          <w:tcPr>
            <w:tcW w:type="dxa" w:w="226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Unser Stand</w:t>
            </w:r>
          </w:p>
        </w:tc>
      </w:tr>
      <w:tr>
        <w:trPr>
          <w:cantSplit w:val="true"/>
        </w:trPr>
        <w:tc>
          <w:tcPr>
            <w:tcW w:type="dxa" w:w="192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8"/>
              </w:rPr>
              <w:t>Sicher — gilt heute</w:t>
            </w:r>
          </w:p>
        </w:tc>
        <w:tc>
          <w:tcPr>
            <w:tcW w:type="dxa" w:w="5443"/>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Die ISO 45001:2018 ist die geltende internationale Fassung. Im deutschsprachigen Raum national übernommen: DIN EN ISO 45001:2023-12, ÖNORM EN ISO 45001:2023-12-01, SN EN ISO 45001:2023. 2018 und 2023 sind derselbe Text — die Zahlen bezeichnen die Ausgabe, nicht den Inhalt.</w:t>
            </w:r>
          </w:p>
        </w:tc>
        <w:tc>
          <w:tcPr>
            <w:tcW w:type="dxa" w:w="226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Unser Zertifikat nennt:</w:t>
              <w:br/>
              <w:br/>
              <w:br/>
            </w:r>
          </w:p>
        </w:tc>
      </w:tr>
      <w:tr>
        <w:trPr>
          <w:cantSplit w:val="true"/>
        </w:trPr>
        <w:tc>
          <w:tcPr>
            <w:tcW w:type="dxa" w:w="192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8"/>
              </w:rPr>
              <w:t>Sicher — gilt heute</w:t>
            </w:r>
          </w:p>
        </w:tc>
        <w:tc>
          <w:tcPr>
            <w:tcW w:type="dxa" w:w="5443"/>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Die Änderung Amd 1:2024 (Klima) ist bereits in Kraft und bindend; sie wird mit ihrer jeweiligen nationalen Ausgabebezeichnung geführt, in Österreich als ÖNORM EN ISO 45001/A1:2025-10-15. Sie ist die einzige Änderung am Normtext seit 2018.</w:t>
            </w:r>
          </w:p>
        </w:tc>
        <w:tc>
          <w:tcPr>
            <w:tcW w:type="dxa" w:w="226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Nationale Bezeichnung bei uns:</w:t>
              <w:br/>
              <w:br/>
            </w:r>
          </w:p>
        </w:tc>
      </w:tr>
      <w:tr>
        <w:trPr>
          <w:cantSplit w:val="true"/>
        </w:trPr>
        <w:tc>
          <w:tcPr>
            <w:tcW w:type="dxa" w:w="192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8"/>
              </w:rPr>
              <w:t>Sicher — Verfahren</w:t>
            </w:r>
          </w:p>
        </w:tc>
        <w:tc>
          <w:tcPr>
            <w:tcW w:type="dxa" w:w="5443"/>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Nach Veröffentlichung einer neuen Ausgabe sind die offiziellen Übergangsregeln abzuwarten; Ablauf und Auditweg richten sich nach diesen Regeln.</w:t>
            </w:r>
          </w:p>
        </w:tc>
        <w:tc>
          <w:tcPr>
            <w:tcW w:type="dxa" w:w="226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r>
      <w:tr>
        <w:trPr>
          <w:cantSplit w:val="true"/>
        </w:trPr>
        <w:tc>
          <w:tcPr>
            <w:tcW w:type="dxa" w:w="192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8"/>
              </w:rPr>
              <w:t>Erwartet — nicht bindend</w:t>
            </w:r>
          </w:p>
        </w:tc>
        <w:tc>
          <w:tcPr>
            <w:tcW w:type="dxa" w:w="5443"/>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Die erste umfassende Revision seit 2018 wird im zuständigen Technischen Komitee bearbeitet. Ein Entwurf (ISO/DIS 45001) liegt vor; die Veröffentlichung einer zweiten Ausgabe wird für 2027 erwartet. Erwartet wird auch die Anpassung an die überarbeitete gemeinsame Grundstruktur der Managementsystemnormen. Ein Entwurf darf nicht wie eine geltende Anforderung behandelt werden.</w:t>
            </w:r>
          </w:p>
        </w:tc>
        <w:tc>
          <w:tcPr>
            <w:tcW w:type="dxa" w:w="226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Stand heute geprüft am / bei:</w:t>
              <w:br/>
              <w:br/>
            </w:r>
          </w:p>
        </w:tc>
      </w:tr>
      <w:tr>
        <w:trPr>
          <w:cantSplit w:val="true"/>
        </w:trPr>
        <w:tc>
          <w:tcPr>
            <w:tcW w:type="dxa" w:w="192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8"/>
              </w:rPr>
              <w:t>Offen</w:t>
            </w:r>
          </w:p>
        </w:tc>
        <w:tc>
          <w:tcPr>
            <w:tcW w:type="dxa" w:w="5443"/>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Umfang der inhaltlichen Änderungen; Dauer der Übergangsfrist; Zeitpunkt der nationalen Übernahme.</w:t>
            </w:r>
          </w:p>
        </w:tc>
        <w:tc>
          <w:tcPr>
            <w:tcW w:type="dxa" w:w="226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r>
      <w:tr>
        <w:trPr>
          <w:cantSplit w:val="true"/>
        </w:trPr>
        <w:tc>
          <w:tcPr>
            <w:tcW w:type="dxa" w:w="192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8"/>
              </w:rPr>
              <w:t>Spekulation — nicht belegt</w:t>
            </w:r>
          </w:p>
        </w:tc>
        <w:tc>
          <w:tcPr>
            <w:tcW w:type="dxa" w:w="5443"/>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Konkrete neue Pflichten, Kennzahlvorgaben, Technologieanforderungen. Wer hier Genaueres zu wissen behauptet, verkauft eine Vermutung als Anforderung.</w:t>
            </w:r>
          </w:p>
        </w:tc>
        <w:tc>
          <w:tcPr>
            <w:tcW w:type="dxa" w:w="226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r>
      <w:tr>
        <w:trPr>
          <w:cantSplit w:val="true"/>
        </w:trPr>
        <w:tc>
          <w:tcPr>
            <w:tcW w:type="dxa" w:w="192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8"/>
              </w:rPr>
              <w:t>Falsch</w:t>
            </w:r>
          </w:p>
        </w:tc>
        <w:tc>
          <w:tcPr>
            <w:tcW w:type="dxa" w:w="5443"/>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Eine bereits geltende Fassung mit der Jahreszahl 2026: Eine ISO 45001:2026 existiert nicht.</w:t>
            </w:r>
          </w:p>
        </w:tc>
        <w:tc>
          <w:tcPr>
            <w:tcW w:type="dxa" w:w="226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r>
    </w:tbl>
    <w:p>
      <w:r>
        <w:rPr>
          <w:rFonts w:ascii="Aptos" w:hAnsi="Aptos" w:cs="Aptos" w:eastAsia="Aptos"/>
          <w:b w:val="0"/>
          <w:i/>
          <w:color w:val="7A6A55"/>
          <w:sz w:val="17"/>
        </w:rPr>
        <w:t>Projektstand laut Band: Am 27. September 2026 liegt ISO/DIS 45001 auf Stufe 40.60; das DIS-Ballot wurde am 9. September 2026 geschlossen. Solche Angaben veralten — prüfen Sie den aktuellen Stand bei ISO oder beim nationalen Normungsinstitut und tragen Sie das Datum der Prüfung ein.</w:t>
      </w:r>
    </w:p>
    <w:p>
      <w:pPr>
        <w:spacing w:after="40"/>
      </w:pPr>
      <w:r>
        <w:rPr>
          <w:rFonts w:ascii="Aptos" w:hAnsi="Aptos" w:cs="Aptos" w:eastAsia="Aptos"/>
          <w:b/>
          <w:i w:val="0"/>
          <w:sz w:val="19"/>
        </w:rPr>
        <w:t>Dieser Entwicklungsstand ändert für sich allein weder die geltenden Anforderungen noch die Gültigkeit eines bestehenden Zertifikats. Aus dem Entwurf allein entsteht keine Umstellungspflicht.</w:t>
      </w:r>
    </w:p>
    <w:p>
      <w:pPr>
        <w:keepNext/>
        <w:pageBreakBefore/>
        <w:spacing w:before="280" w:after="80"/>
        <w:pBdr>
          <w:bottom w:val="single" w:sz="6" w:space="2" w:color="C9BBA6"/>
        </w:pBdr>
      </w:pPr>
      <w:r>
        <w:rPr>
          <w:rFonts w:ascii="Aptos" w:hAnsi="Aptos" w:cs="Aptos" w:eastAsia="Aptos"/>
          <w:b/>
          <w:color w:val="8C5A2B"/>
          <w:sz w:val="28"/>
        </w:rPr>
        <w:t>Die jährliche Prüfung — drei Fragen</w:t>
      </w:r>
    </w:p>
    <w:p>
      <w:r>
        <w:rPr>
          <w:rFonts w:ascii="Aptos" w:hAnsi="Aptos" w:cs="Aptos" w:eastAsia="Aptos"/>
          <w:b w:val="0"/>
          <w:i w:val="0"/>
          <w:sz w:val="20"/>
        </w:rPr>
        <w:t>Dieselben zwanzig Minuten, die im Fall des Bandes ein Beratungspaket ersetzt haben. Schreiben Sie die Antworten auf:</w:t>
      </w:r>
    </w:p>
    <w:tbl>
      <w:tblPr>
        <w:tblW w:type="auto" w:w="0"/>
        <w:jc w:val="center"/>
        <w:tblLayout w:type="fixed"/>
        <w:tblLook w:firstColumn="1" w:firstRow="1" w:lastColumn="0" w:lastRow="0" w:noHBand="0" w:noVBand="1" w:val="04A0"/>
      </w:tblPr>
      <w:tblGrid>
        <w:gridCol w:w="4252"/>
        <w:gridCol w:w="5386"/>
      </w:tblGrid>
      <w:tr>
        <w:trPr>
          <w:tblHeader w:val="true"/>
        </w:trPr>
        <w:tc>
          <w:tcPr>
            <w:tcW w:type="dxa" w:w="4252"/>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9"/>
              </w:rPr>
              <w:t>Frage</w:t>
            </w:r>
          </w:p>
        </w:tc>
        <w:tc>
          <w:tcPr>
            <w:tcW w:type="dxa" w:w="5386"/>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9"/>
              </w:rPr>
              <w:t>Antwort</w:t>
            </w:r>
          </w:p>
        </w:tc>
      </w:tr>
      <w:tr>
        <w:trPr>
          <w:cantSplit w:val="true"/>
          <w:trHeight w:val="907" w:hRule="atLeast"/>
        </w:trPr>
        <w:tc>
          <w:tcPr>
            <w:tcW w:type="dxa" w:w="425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t>Welche Fassung nennt unser Zertifikat (Norm, Ausgabejahr)?</w:t>
            </w:r>
          </w:p>
        </w:tc>
        <w:tc>
          <w:tcPr>
            <w:tcW w:type="dxa" w:w="5386"/>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r>
          </w:p>
        </w:tc>
      </w:tr>
      <w:tr>
        <w:trPr>
          <w:cantSplit w:val="true"/>
          <w:trHeight w:val="907" w:hRule="atLeast"/>
        </w:trPr>
        <w:tc>
          <w:tcPr>
            <w:tcW w:type="dxa" w:w="425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t>Welche Änderung ist seit 2018 hinzugekommen — und haben wir sie umgesetzt?</w:t>
            </w:r>
          </w:p>
        </w:tc>
        <w:tc>
          <w:tcPr>
            <w:tcW w:type="dxa" w:w="5386"/>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r>
          </w:p>
        </w:tc>
      </w:tr>
      <w:tr>
        <w:trPr>
          <w:cantSplit w:val="true"/>
          <w:trHeight w:val="907" w:hRule="atLeast"/>
        </w:trPr>
        <w:tc>
          <w:tcPr>
            <w:tcW w:type="dxa" w:w="425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t>Wer ist unser Ansprechpartner bei der Zertifizierungsstelle (Name, Telefon)?</w:t>
            </w:r>
          </w:p>
        </w:tc>
        <w:tc>
          <w:tcPr>
            <w:tcW w:type="dxa" w:w="5386"/>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r>
          </w:p>
        </w:tc>
      </w:tr>
    </w:tbl>
    <w:p>
      <w:pPr>
        <w:spacing w:after="60"/>
        <w:ind w:left="454" w:hanging="340"/>
      </w:pPr>
      <w:r>
        <w:rPr>
          <w:rFonts w:ascii="Aptos" w:hAnsi="Aptos" w:cs="Aptos" w:eastAsia="Aptos"/>
          <w:b/>
          <w:i w:val="0"/>
          <w:color w:val="8C5A2B"/>
          <w:sz w:val="21"/>
        </w:rPr>
        <w:t xml:space="preserve">☐  </w:t>
      </w:r>
      <w:r>
        <w:rPr>
          <w:rFonts w:ascii="Aptos" w:hAnsi="Aptos" w:cs="Aptos" w:eastAsia="Aptos"/>
          <w:b w:val="0"/>
          <w:i w:val="0"/>
          <w:sz w:val="19"/>
        </w:rPr>
        <w:t>Auskunft der eigenen Zertifizierungsstelle eingeholt, was der aktuelle Projektstand für das bestehende Zertifikat bedeutet (verbindlich nur für das eigene Zertifikat)</w:t>
      </w:r>
    </w:p>
    <w:p>
      <w:pPr>
        <w:spacing w:after="60"/>
        <w:ind w:left="454" w:hanging="340"/>
      </w:pPr>
      <w:r>
        <w:rPr>
          <w:rFonts w:ascii="Aptos" w:hAnsi="Aptos" w:cs="Aptos" w:eastAsia="Aptos"/>
          <w:b/>
          <w:i w:val="0"/>
          <w:color w:val="8C5A2B"/>
          <w:sz w:val="21"/>
        </w:rPr>
        <w:t xml:space="preserve">☐  </w:t>
      </w:r>
      <w:r>
        <w:rPr>
          <w:rFonts w:ascii="Aptos" w:hAnsi="Aptos" w:cs="Aptos" w:eastAsia="Aptos"/>
          <w:b w:val="0"/>
          <w:i w:val="0"/>
          <w:sz w:val="19"/>
        </w:rPr>
        <w:t>Änderungsdienst ausgewertet (siehe unten) — zweimal jährlich</w:t>
      </w:r>
    </w:p>
    <w:p>
      <w:pPr>
        <w:spacing w:after="60"/>
        <w:ind w:left="454" w:hanging="340"/>
      </w:pPr>
      <w:r>
        <w:rPr>
          <w:rFonts w:ascii="Aptos" w:hAnsi="Aptos" w:cs="Aptos" w:eastAsia="Aptos"/>
          <w:b/>
          <w:i w:val="0"/>
          <w:color w:val="8C5A2B"/>
          <w:sz w:val="21"/>
        </w:rPr>
        <w:t xml:space="preserve">☐  </w:t>
      </w:r>
      <w:r>
        <w:rPr>
          <w:rFonts w:ascii="Aptos" w:hAnsi="Aptos" w:cs="Aptos" w:eastAsia="Aptos"/>
          <w:b w:val="0"/>
          <w:i w:val="0"/>
          <w:sz w:val="19"/>
        </w:rPr>
        <w:t>Klima-Änderung im Kontext und bei den interessierten Parteien geprüft und dokumentiert (siehe nächste Seite)</w:t>
      </w:r>
    </w:p>
    <w:p>
      <w:pPr>
        <w:spacing w:after="60"/>
        <w:ind w:left="454" w:hanging="340"/>
      </w:pPr>
      <w:r>
        <w:rPr>
          <w:rFonts w:ascii="Aptos" w:hAnsi="Aptos" w:cs="Aptos" w:eastAsia="Aptos"/>
          <w:b/>
          <w:i w:val="0"/>
          <w:color w:val="8C5A2B"/>
          <w:sz w:val="21"/>
        </w:rPr>
        <w:t xml:space="preserve">☐  </w:t>
      </w:r>
      <w:r>
        <w:rPr>
          <w:rFonts w:ascii="Aptos" w:hAnsi="Aptos" w:cs="Aptos" w:eastAsia="Aptos"/>
          <w:b w:val="0"/>
          <w:i w:val="0"/>
          <w:sz w:val="19"/>
        </w:rPr>
        <w:t>Fünf Prüffragen für Angebote dort hinterlegt, wo solche Angebote ankommen — in der Regel bei der Direktion</w:t>
      </w:r>
    </w:p>
    <w:p>
      <w:pPr>
        <w:keepNext/>
        <w:spacing w:before="160" w:after="60"/>
      </w:pPr>
      <w:r>
        <w:rPr>
          <w:rFonts w:ascii="Aptos" w:hAnsi="Aptos" w:cs="Aptos" w:eastAsia="Aptos"/>
          <w:b/>
          <w:color w:val="8C5A2B"/>
          <w:sz w:val="23"/>
        </w:rPr>
        <w:t>Woher ein Haus verlässliche Auskunft bekommt</w:t>
      </w:r>
    </w:p>
    <w:tbl>
      <w:tblPr>
        <w:tblW w:type="auto" w:w="0"/>
        <w:jc w:val="center"/>
        <w:tblLayout w:type="fixed"/>
        <w:tblLook w:firstColumn="1" w:firstRow="1" w:lastColumn="0" w:lastRow="0" w:noHBand="0" w:noVBand="1" w:val="04A0"/>
      </w:tblPr>
      <w:tblGrid>
        <w:gridCol w:w="2211"/>
        <w:gridCol w:w="2835"/>
        <w:gridCol w:w="2268"/>
        <w:gridCol w:w="2324"/>
      </w:tblGrid>
      <w:tr>
        <w:trPr>
          <w:tblHeader w:val="true"/>
        </w:trPr>
        <w:tc>
          <w:tcPr>
            <w:tcW w:type="dxa" w:w="221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Quelle</w:t>
            </w:r>
          </w:p>
        </w:tc>
        <w:tc>
          <w:tcPr>
            <w:tcW w:type="dxa" w:w="2835"/>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Wofür sie verbindlich ist</w:t>
            </w:r>
          </w:p>
        </w:tc>
        <w:tc>
          <w:tcPr>
            <w:tcW w:type="dxa" w:w="226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Grenze</w:t>
            </w:r>
          </w:p>
        </w:tc>
        <w:tc>
          <w:tcPr>
            <w:tcW w:type="dxa" w:w="2324"/>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Bei uns (Name, Kontakt)</w:t>
            </w:r>
          </w:p>
        </w:tc>
      </w:tr>
      <w:tr>
        <w:trPr>
          <w:cantSplit w:val="true"/>
          <w:trHeight w:val="510" w:hRule="atLeast"/>
        </w:trPr>
        <w:tc>
          <w:tcPr>
            <w:tcW w:type="dxa" w:w="221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7"/>
              </w:rPr>
              <w:t>Die eigene Zertifizierungsstelle</w:t>
            </w:r>
          </w:p>
        </w:tc>
        <w:tc>
          <w:tcPr>
            <w:tcW w:type="dxa" w:w="28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Alles, was das eigene Zertifikat betrifft: Fristen, Verfahren, Termine</w:t>
            </w:r>
          </w:p>
        </w:tc>
        <w:tc>
          <w:tcPr>
            <w:tcW w:type="dxa" w:w="226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Keine fachliche Beratung zum System</w:t>
            </w:r>
          </w:p>
        </w:tc>
        <w:tc>
          <w:tcPr>
            <w:tcW w:type="dxa" w:w="232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510" w:hRule="atLeast"/>
        </w:trPr>
        <w:tc>
          <w:tcPr>
            <w:tcW w:type="dxa" w:w="221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7"/>
              </w:rPr>
              <w:t>Nationales Normungsinstitut</w:t>
            </w:r>
          </w:p>
        </w:tc>
        <w:tc>
          <w:tcPr>
            <w:tcW w:type="dxa" w:w="283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Welche Ausgabe gilt und wann eine neue erscheint</w:t>
            </w:r>
          </w:p>
        </w:tc>
        <w:tc>
          <w:tcPr>
            <w:tcW w:type="dxa" w:w="226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Der Normtext selbst ist kostenpflichtig</w:t>
            </w:r>
          </w:p>
        </w:tc>
        <w:tc>
          <w:tcPr>
            <w:tcW w:type="dxa" w:w="232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r>
      <w:tr>
        <w:trPr>
          <w:cantSplit w:val="true"/>
          <w:trHeight w:val="510" w:hRule="atLeast"/>
        </w:trPr>
        <w:tc>
          <w:tcPr>
            <w:tcW w:type="dxa" w:w="221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7"/>
              </w:rPr>
              <w:t>Nationale Akkreditierungsstelle</w:t>
            </w:r>
          </w:p>
        </w:tc>
        <w:tc>
          <w:tcPr>
            <w:tcW w:type="dxa" w:w="28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Regeln der akkreditierten Zertifizierung, veröffentlichte Übergangsregelungen</w:t>
            </w:r>
          </w:p>
        </w:tc>
        <w:tc>
          <w:tcPr>
            <w:tcW w:type="dxa" w:w="226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Keine Auskunft zum Einzelfall</w:t>
            </w:r>
          </w:p>
        </w:tc>
        <w:tc>
          <w:tcPr>
            <w:tcW w:type="dxa" w:w="232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510" w:hRule="atLeast"/>
        </w:trPr>
        <w:tc>
          <w:tcPr>
            <w:tcW w:type="dxa" w:w="221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7"/>
              </w:rPr>
              <w:t>Unfallversicherungsträger</w:t>
            </w:r>
          </w:p>
        </w:tc>
        <w:tc>
          <w:tcPr>
            <w:tcW w:type="dxa" w:w="283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Fachliche Fragen des Arbeitsschutzes, kostenlos</w:t>
            </w:r>
          </w:p>
        </w:tc>
        <w:tc>
          <w:tcPr>
            <w:tcW w:type="dxa" w:w="226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Keine Zuständigkeit für Zertifizierung</w:t>
            </w:r>
          </w:p>
        </w:tc>
        <w:tc>
          <w:tcPr>
            <w:tcW w:type="dxa" w:w="232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r>
      <w:tr>
        <w:trPr>
          <w:cantSplit w:val="true"/>
          <w:trHeight w:val="510" w:hRule="atLeast"/>
        </w:trPr>
        <w:tc>
          <w:tcPr>
            <w:tcW w:type="dxa" w:w="221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7"/>
              </w:rPr>
              <w:t>Branchenverband</w:t>
            </w:r>
          </w:p>
        </w:tc>
        <w:tc>
          <w:tcPr>
            <w:tcW w:type="dxa" w:w="28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Einordnung für das Gastgewerbe</w:t>
            </w:r>
          </w:p>
        </w:tc>
        <w:tc>
          <w:tcPr>
            <w:tcW w:type="dxa" w:w="226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Keine Verbindlichkeit</w:t>
            </w:r>
          </w:p>
        </w:tc>
        <w:tc>
          <w:tcPr>
            <w:tcW w:type="dxa" w:w="232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510" w:hRule="atLeast"/>
        </w:trPr>
        <w:tc>
          <w:tcPr>
            <w:tcW w:type="dxa" w:w="221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7"/>
              </w:rPr>
              <w:t>Anbieter von Beratung und Schulung</w:t>
            </w:r>
          </w:p>
        </w:tc>
        <w:tc>
          <w:tcPr>
            <w:tcW w:type="dxa" w:w="283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Nichts davon</w:t>
            </w:r>
          </w:p>
        </w:tc>
        <w:tc>
          <w:tcPr>
            <w:tcW w:type="dxa" w:w="226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Hat ein Geschäftsinteresse an der Antwort</w:t>
            </w:r>
          </w:p>
        </w:tc>
        <w:tc>
          <w:tcPr>
            <w:tcW w:type="dxa" w:w="232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r>
    </w:tbl>
    <w:p>
      <w:pPr>
        <w:keepNext/>
        <w:spacing w:before="160" w:after="60"/>
      </w:pPr>
      <w:r>
        <w:rPr>
          <w:rFonts w:ascii="Aptos" w:hAnsi="Aptos" w:cs="Aptos" w:eastAsia="Aptos"/>
          <w:b/>
          <w:color w:val="8C5A2B"/>
          <w:sz w:val="23"/>
        </w:rPr>
        <w:t>Änderungsdienst — erweitert um die Normungsinformation</w:t>
      </w:r>
    </w:p>
    <w:p>
      <w:r>
        <w:rPr>
          <w:rFonts w:ascii="Aptos" w:hAnsi="Aptos" w:cs="Aptos" w:eastAsia="Aptos"/>
          <w:b w:val="0"/>
          <w:i w:val="0"/>
          <w:sz w:val="19"/>
        </w:rPr>
        <w:t>Zu den bereits abonnierten Diensten der Unfallversicherungsträger (Newsletter) kommt die Information des nationalen Normungsinstituts zur betroffenen Norm. Zweimal jährlich, zwanzig Minuten.</w:t>
      </w:r>
    </w:p>
    <w:tbl>
      <w:tblPr>
        <w:tblW w:type="auto" w:w="0"/>
        <w:jc w:val="center"/>
        <w:tblLayout w:type="fixed"/>
        <w:tblLook w:firstColumn="1" w:firstRow="1" w:lastColumn="0" w:lastRow="0" w:noHBand="0" w:noVBand="1" w:val="04A0"/>
      </w:tblPr>
      <w:tblGrid>
        <w:gridCol w:w="3515"/>
        <w:gridCol w:w="2381"/>
        <w:gridCol w:w="2041"/>
        <w:gridCol w:w="1701"/>
      </w:tblGrid>
      <w:tr>
        <w:trPr>
          <w:tblHeader w:val="true"/>
        </w:trPr>
        <w:tc>
          <w:tcPr>
            <w:tcW w:type="dxa" w:w="3515"/>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Dienst</w:t>
            </w:r>
          </w:p>
        </w:tc>
        <w:tc>
          <w:tcPr>
            <w:tcW w:type="dxa" w:w="238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Wer wertet aus (Name)</w:t>
            </w:r>
          </w:p>
        </w:tc>
        <w:tc>
          <w:tcPr>
            <w:tcW w:type="dxa" w:w="204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Rhythmus</w:t>
            </w:r>
          </w:p>
        </w:tc>
        <w:tc>
          <w:tcPr>
            <w:tcW w:type="dxa" w:w="170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Zuletzt ausgewertet am</w:t>
            </w:r>
          </w:p>
        </w:tc>
      </w:tr>
      <w:tr>
        <w:trPr>
          <w:cantSplit w:val="true"/>
          <w:trHeight w:val="453" w:hRule="atLeast"/>
        </w:trPr>
        <w:tc>
          <w:tcPr>
            <w:tcW w:type="dxa" w:w="351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Unfallversicherungsträger (Newsletter)</w:t>
            </w:r>
          </w:p>
        </w:tc>
        <w:tc>
          <w:tcPr>
            <w:tcW w:type="dxa" w:w="238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204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zweimal jährlich</w:t>
            </w:r>
          </w:p>
        </w:tc>
        <w:tc>
          <w:tcPr>
            <w:tcW w:type="dxa" w:w="170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r>
      <w:tr>
        <w:trPr>
          <w:cantSplit w:val="true"/>
          <w:trHeight w:val="453" w:hRule="atLeast"/>
        </w:trPr>
        <w:tc>
          <w:tcPr>
            <w:tcW w:type="dxa" w:w="351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Nationales Normungsinstitut: Information zur Norm</w:t>
            </w:r>
          </w:p>
        </w:tc>
        <w:tc>
          <w:tcPr>
            <w:tcW w:type="dxa" w:w="238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c>
          <w:tcPr>
            <w:tcW w:type="dxa" w:w="204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zweimal jährlich, ca. 20 Minuten</w:t>
            </w:r>
          </w:p>
        </w:tc>
        <w:tc>
          <w:tcPr>
            <w:tcW w:type="dxa" w:w="170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r>
      <w:tr>
        <w:trPr>
          <w:cantSplit w:val="true"/>
          <w:trHeight w:val="453" w:hRule="atLeast"/>
        </w:trPr>
        <w:tc>
          <w:tcPr>
            <w:tcW w:type="dxa" w:w="351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238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204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170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r>
      <w:tr>
        <w:trPr>
          <w:cantSplit w:val="true"/>
          <w:trHeight w:val="453" w:hRule="atLeast"/>
        </w:trPr>
        <w:tc>
          <w:tcPr>
            <w:tcW w:type="dxa" w:w="351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c>
          <w:tcPr>
            <w:tcW w:type="dxa" w:w="238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c>
          <w:tcPr>
            <w:tcW w:type="dxa" w:w="204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c>
          <w:tcPr>
            <w:tcW w:type="dxa" w:w="170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r>
    </w:tbl>
    <w:p>
      <w:r>
        <w:rPr>
          <w:rFonts w:ascii="Aptos" w:hAnsi="Aptos" w:cs="Aptos" w:eastAsia="Aptos"/>
          <w:b w:val="0"/>
          <w:i/>
          <w:color w:val="7A6A55"/>
          <w:sz w:val="18"/>
        </w:rPr>
        <w:t>Der Änderungsdienst weist nach, dass er gearbeitet hat: Bei der Rezertifizierung wird gefragt, welche Änderungen der letzten drei Jahre berücksichtigt wurden (Abschnitt 4.12).</w:t>
      </w:r>
    </w:p>
    <w:p>
      <w:pPr>
        <w:keepNext/>
        <w:pageBreakBefore/>
        <w:spacing w:before="280" w:after="80"/>
        <w:pBdr>
          <w:bottom w:val="single" w:sz="6" w:space="2" w:color="C9BBA6"/>
        </w:pBdr>
      </w:pPr>
      <w:r>
        <w:rPr>
          <w:rFonts w:ascii="Aptos" w:hAnsi="Aptos" w:cs="Aptos" w:eastAsia="Aptos"/>
          <w:b/>
          <w:color w:val="8C5A2B"/>
          <w:sz w:val="28"/>
        </w:rPr>
        <w:t>Die Klima-Änderung (Amd 1:2024) im Kontext und bei den interessierten Parteien</w:t>
      </w:r>
    </w:p>
    <w:p>
      <w:r>
        <w:rPr>
          <w:rFonts w:ascii="Aptos" w:hAnsi="Aptos" w:cs="Aptos" w:eastAsia="Aptos"/>
          <w:b w:val="0"/>
          <w:i w:val="0"/>
          <w:sz w:val="19"/>
        </w:rPr>
        <w:t>Sie ist das Einzige, was sich seit 2018 am Normtext geändert hat, und sie gilt bereits. Sie ergänzt zwei Stellen: Bei der Bestimmung des Kontexts ist zu prüfen, ob der Klimawandel ein relevantes Thema ist; bei den Erfordernissen interessierter Parteien ist zu berücksichtigen, dass diese klimabezogene Anforderungen haben können. Mehr steht dort nicht. Die Änderung ist umgesetzt, wenn die relevanten Auswirkungen in die betroffenen Planungs- und Steuerungsprozesse eingeflossen sind; die Dokumentation der Kontextprüfung ersetzt keine erforderlichen Schutzmaßnahmen.</w:t>
      </w:r>
    </w:p>
    <w:tbl>
      <w:tblPr>
        <w:tblW w:type="auto" w:w="0"/>
        <w:jc w:val="center"/>
        <w:tblLayout w:type="fixed"/>
        <w:tblLook w:firstColumn="1" w:firstRow="1" w:lastColumn="0" w:lastRow="0" w:noHBand="0" w:noVBand="1" w:val="04A0"/>
      </w:tblPr>
      <w:tblGrid>
        <w:gridCol w:w="2494"/>
        <w:gridCol w:w="3969"/>
        <w:gridCol w:w="3175"/>
      </w:tblGrid>
      <w:tr>
        <w:trPr>
          <w:tblHeader w:val="true"/>
        </w:trPr>
        <w:tc>
          <w:tcPr>
            <w:tcW w:type="dxa" w:w="2494"/>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Frage der Änderung</w:t>
            </w:r>
          </w:p>
        </w:tc>
        <w:tc>
          <w:tcPr>
            <w:tcW w:type="dxa" w:w="3969"/>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Was im Hotel dazu gehört (Band)</w:t>
            </w:r>
          </w:p>
        </w:tc>
        <w:tc>
          <w:tcPr>
            <w:tcW w:type="dxa" w:w="3175"/>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Unsere Antwort</w:t>
            </w:r>
          </w:p>
        </w:tc>
      </w:tr>
      <w:tr>
        <w:trPr>
          <w:cantSplit w:val="true"/>
          <w:trHeight w:val="1134" w:hRule="atLeast"/>
        </w:trPr>
        <w:tc>
          <w:tcPr>
            <w:tcW w:type="dxa" w:w="249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8"/>
              </w:rPr>
              <w:t>Ist der Klimawandel ein relevantes Thema unseres Kontexts?</w:t>
            </w:r>
          </w:p>
        </w:tc>
        <w:tc>
          <w:tcPr>
            <w:tcW w:type="dxa" w:w="396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Hitzeperioden in Küche, Wäscherei, Dach und Außenbereich; Extremwetter bei Arbeiten im Freien; Ausfall von Kälte- und Lüftungsanlagen</w:t>
            </w:r>
          </w:p>
        </w:tc>
        <w:tc>
          <w:tcPr>
            <w:tcW w:type="dxa" w:w="317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r>
      <w:tr>
        <w:trPr>
          <w:cantSplit w:val="true"/>
          <w:trHeight w:val="1134" w:hRule="atLeast"/>
        </w:trPr>
        <w:tc>
          <w:tcPr>
            <w:tcW w:type="dxa" w:w="249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8"/>
              </w:rPr>
              <w:t>Haben interessierte Parteien klimabezogene Anforderungen?</w:t>
            </w:r>
          </w:p>
        </w:tc>
        <w:tc>
          <w:tcPr>
            <w:tcW w:type="dxa" w:w="3969"/>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Konzernkunden mit Berichtspflichten; Veranstalter mit Nachhaltigkeitskriterien; Versicherer; Beschäftigte und ihre Vertretung (soweit sie das Managementsystem betreffen)</w:t>
            </w:r>
          </w:p>
        </w:tc>
        <w:tc>
          <w:tcPr>
            <w:tcW w:type="dxa" w:w="317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r>
      <w:tr>
        <w:trPr>
          <w:cantSplit w:val="true"/>
          <w:trHeight w:val="1134" w:hRule="atLeast"/>
        </w:trPr>
        <w:tc>
          <w:tcPr>
            <w:tcW w:type="dxa" w:w="249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8"/>
              </w:rPr>
              <w:t>Was folgt daraus für den Arbeitsschutz?</w:t>
            </w:r>
          </w:p>
        </w:tc>
        <w:tc>
          <w:tcPr>
            <w:tcW w:type="dxa" w:w="396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Hitzebelastung in der Gefährdungsbeurteilung; Trinkpausen und Pausenregelungen; Ausweichräume; Notfallvorsorge bei Anlagenausfall</w:t>
            </w:r>
          </w:p>
        </w:tc>
        <w:tc>
          <w:tcPr>
            <w:tcW w:type="dxa" w:w="317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r>
      <w:tr>
        <w:trPr>
          <w:cantSplit w:val="true"/>
          <w:trHeight w:val="1134" w:hRule="atLeast"/>
        </w:trPr>
        <w:tc>
          <w:tcPr>
            <w:tcW w:type="dxa" w:w="249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8"/>
              </w:rPr>
              <w:t>Was folgt daraus NICHT?</w:t>
            </w:r>
          </w:p>
        </w:tc>
        <w:tc>
          <w:tcPr>
            <w:tcW w:type="dxa" w:w="3969"/>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Keine Klimastrategie, keine Emissionsbilanz, kein Nachhaltigkeitsbericht — das sind andere Normen und andere Rechtsgebiete</w:t>
            </w:r>
          </w:p>
        </w:tc>
        <w:tc>
          <w:tcPr>
            <w:tcW w:type="dxa" w:w="317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r>
          </w:p>
        </w:tc>
      </w:tr>
    </w:tbl>
    <w:tbl>
      <w:tblPr>
        <w:tblW w:type="auto" w:w="0"/>
        <w:tblLayout w:type="fixed"/>
        <w:tblLook w:firstColumn="1" w:firstRow="1" w:lastColumn="0" w:lastRow="0" w:noHBand="0" w:noVBand="1" w:val="04A0"/>
      </w:tblPr>
      <w:tblGrid>
        <w:gridCol w:w="4819"/>
        <w:gridCol w:w="4819"/>
      </w:tblGrid>
      <w:tr>
        <w:tc>
          <w:tcPr>
            <w:tcW w:type="dxa" w:w="1474"/>
          </w:tcPr>
          <w:p>
            <w:pPr>
              <w:spacing w:after="20"/>
            </w:pPr>
            <w:r>
              <w:rPr>
                <w:rFonts w:ascii="Aptos" w:hAnsi="Aptos" w:cs="Aptos" w:eastAsia="Aptos"/>
                <w:b/>
                <w:i w:val="0"/>
                <w:color w:val="8C5A2B"/>
                <w:sz w:val="19"/>
              </w:rPr>
              <w:t>Geprüft am</w:t>
            </w:r>
          </w:p>
        </w:tc>
        <w:tc>
          <w:tcPr>
            <w:tcW w:type="dxa" w:w="1928"/>
            <w:tcBorders>
              <w:bottom w:val="single" w:sz="6" w:space="0" w:color="C9BBA6"/>
            </w:tcBorders>
          </w:tcPr>
          <w:p>
            <w:pPr>
              <w:spacing w:after="20"/>
            </w:pPr>
          </w:p>
        </w:tc>
      </w:tr>
      <w:tr>
        <w:tc>
          <w:tcPr>
            <w:tcW w:type="dxa" w:w="1474"/>
          </w:tcPr>
          <w:p>
            <w:pPr>
              <w:spacing w:after="20"/>
            </w:pPr>
            <w:r>
              <w:rPr>
                <w:rFonts w:ascii="Aptos" w:hAnsi="Aptos" w:cs="Aptos" w:eastAsia="Aptos"/>
                <w:b/>
                <w:i w:val="0"/>
                <w:color w:val="8C5A2B"/>
                <w:sz w:val="19"/>
              </w:rPr>
              <w:t>Geprüft von</w:t>
            </w:r>
          </w:p>
        </w:tc>
        <w:tc>
          <w:tcPr>
            <w:tcW w:type="dxa" w:w="1928"/>
            <w:tcBorders>
              <w:bottom w:val="single" w:sz="6" w:space="0" w:color="C9BBA6"/>
            </w:tcBorders>
          </w:tcPr>
          <w:p>
            <w:pPr>
              <w:spacing w:after="20"/>
            </w:pPr>
          </w:p>
        </w:tc>
      </w:tr>
      <w:tr>
        <w:tc>
          <w:tcPr>
            <w:tcW w:type="dxa" w:w="1474"/>
          </w:tcPr>
          <w:p>
            <w:pPr>
              <w:spacing w:after="20"/>
            </w:pPr>
            <w:r>
              <w:rPr>
                <w:rFonts w:ascii="Aptos" w:hAnsi="Aptos" w:cs="Aptos" w:eastAsia="Aptos"/>
                <w:b/>
                <w:i w:val="0"/>
                <w:color w:val="8C5A2B"/>
                <w:sz w:val="19"/>
              </w:rPr>
              <w:t>Verweis auf Gefährdungsbeurteilung / Planung</w:t>
            </w:r>
          </w:p>
        </w:tc>
        <w:tc>
          <w:tcPr>
            <w:tcW w:type="dxa" w:w="1928"/>
            <w:tcBorders>
              <w:bottom w:val="single" w:sz="6" w:space="0" w:color="C9BBA6"/>
            </w:tcBorders>
          </w:tcPr>
          <w:p>
            <w:pPr>
              <w:spacing w:after="20"/>
            </w:pPr>
          </w:p>
        </w:tc>
      </w:tr>
    </w:tbl>
    <w:p>
      <w:pPr>
        <w:spacing w:after="60"/>
      </w:pPr>
    </w:p>
    <w:tbl>
      <w:tblPr>
        <w:tblW w:type="auto" w:w="0"/>
        <w:jc w:val="center"/>
        <w:tblLook w:firstColumn="1" w:firstRow="1" w:lastColumn="0" w:lastRow="0" w:noHBand="0" w:noVBand="1" w:val="04A0"/>
      </w:tblPr>
      <w:tblGrid>
        <w:gridCol w:w="9638"/>
      </w:tblGrid>
      <w:tr>
        <w:tc>
          <w:tcPr>
            <w:tcW w:type="dxa" w:w="9638"/>
            <w:shd w:val="clear" w:color="auto" w:fill="EFE7DC"/>
            <w:tcBorders>
              <w:left w:val="single" w:sz="24" w:space="0" w:color="8C5A2B"/>
            </w:tcBorders>
          </w:tcPr>
          <w:p>
            <w:pPr>
              <w:spacing w:after="40"/>
            </w:pPr>
            <w:r>
              <w:rPr>
                <w:rFonts w:ascii="Aptos" w:hAnsi="Aptos" w:cs="Aptos" w:eastAsia="Aptos"/>
                <w:b/>
                <w:i w:val="0"/>
                <w:color w:val="8C5A2B"/>
                <w:sz w:val="21"/>
              </w:rPr>
              <w:t>Beispiel (aus dem Band)</w:t>
            </w:r>
          </w:p>
          <w:p>
            <w:pPr>
              <w:spacing w:after="40"/>
            </w:pPr>
            <w:r>
              <w:rPr>
                <w:rFonts w:ascii="Aptos" w:hAnsi="Aptos" w:cs="Aptos" w:eastAsia="Aptos"/>
                <w:b w:val="0"/>
                <w:i w:val="0"/>
                <w:sz w:val="20"/>
              </w:rPr>
              <w:t>Konstanz (Hauptfall, Maßnahme 4): Hitzebelastung in Küche und Wäscherei wird als Kontextthema aufgenommen; klimabezogene Anforderungen zweier Kunden werden geprüft, soweit sie das System betreffen; der Ausfall der Kälteanlage bei Hitzewellen wird als Risiko geführt. Die daraus folgenden Maßnahmen fließen in Gefährdungsbeurteilung und Planung ein.</w:t>
            </w:r>
          </w:p>
        </w:tc>
      </w:tr>
    </w:tbl>
    <w:p>
      <w:pPr>
        <w:spacing w:after="40"/>
      </w:pPr>
    </w:p>
    <w:p>
      <w:pPr>
        <w:keepNext/>
        <w:pageBreakBefore w:val="0"/>
        <w:spacing w:before="280" w:after="80"/>
        <w:pBdr>
          <w:bottom w:val="single" w:sz="6" w:space="2" w:color="C9BBA6"/>
        </w:pBdr>
      </w:pPr>
      <w:r>
        <w:rPr>
          <w:rFonts w:ascii="Aptos" w:hAnsi="Aptos" w:cs="Aptos" w:eastAsia="Aptos"/>
          <w:b/>
          <w:color w:val="8C5A2B"/>
          <w:sz w:val="28"/>
        </w:rPr>
        <w:t>Angebot zur «neuen Norm» erhalten? Fünf Fragen an den Anbieter</w:t>
      </w:r>
    </w:p>
    <w:tbl>
      <w:tblPr>
        <w:tblW w:type="auto" w:w="0"/>
        <w:jc w:val="center"/>
        <w:tblLayout w:type="fixed"/>
        <w:tblLook w:firstColumn="1" w:firstRow="1" w:lastColumn="0" w:lastRow="0" w:noHBand="0" w:noVBand="1" w:val="04A0"/>
      </w:tblPr>
      <w:tblGrid>
        <w:gridCol w:w="5102"/>
        <w:gridCol w:w="4535"/>
      </w:tblGrid>
      <w:tr>
        <w:trPr>
          <w:tblHeader w:val="true"/>
        </w:trPr>
        <w:tc>
          <w:tcPr>
            <w:tcW w:type="dxa" w:w="5102"/>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Frage an den Anbieter</w:t>
            </w:r>
          </w:p>
        </w:tc>
        <w:tc>
          <w:tcPr>
            <w:tcW w:type="dxa" w:w="4535"/>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Was die Antwort verrät</w:t>
            </w:r>
          </w:p>
        </w:tc>
      </w:tr>
      <w:tr>
        <w:trPr>
          <w:cantSplit w:val="true"/>
        </w:trPr>
        <w:tc>
          <w:tcPr>
            <w:tcW w:type="dxa" w:w="510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Auf welche veröffentlichte Fassung beziehen Sie sich, mit Ausgabejahr?</w:t>
            </w:r>
          </w:p>
        </w:tc>
        <w:tc>
          <w:tcPr>
            <w:tcW w:type="dxa" w:w="45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Gibt es keine, ist die Grundlage ein Entwurf</w:t>
            </w:r>
          </w:p>
        </w:tc>
      </w:tr>
      <w:tr>
        <w:trPr>
          <w:cantSplit w:val="true"/>
        </w:trPr>
        <w:tc>
          <w:tcPr>
            <w:tcW w:type="dxa" w:w="5102"/>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Woher stammt Ihre Kenntnis des künftigen Textes?</w:t>
            </w:r>
          </w:p>
        </w:tc>
        <w:tc>
          <w:tcPr>
            <w:tcW w:type="dxa" w:w="453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Ein Entwurf ist zugänglich; sein Inhalt ist nicht endgültig</w:t>
            </w:r>
          </w:p>
        </w:tc>
      </w:tr>
      <w:tr>
        <w:trPr>
          <w:cantSplit w:val="true"/>
        </w:trPr>
        <w:tc>
          <w:tcPr>
            <w:tcW w:type="dxa" w:w="510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Welche Übergangsfrist gilt, und wer hat sie festgelegt?</w:t>
            </w:r>
          </w:p>
        </w:tc>
        <w:tc>
          <w:tcPr>
            <w:tcW w:type="dxa" w:w="45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Vor Veröffentlichung gibt es keine</w:t>
            </w:r>
          </w:p>
        </w:tc>
      </w:tr>
      <w:tr>
        <w:trPr>
          <w:cantSplit w:val="true"/>
        </w:trPr>
        <w:tc>
          <w:tcPr>
            <w:tcW w:type="dxa" w:w="5102"/>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Was sagt meine Zertifizierungsstelle dazu?</w:t>
            </w:r>
          </w:p>
        </w:tc>
        <w:tc>
          <w:tcPr>
            <w:tcW w:type="dxa" w:w="453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Die Frage beendet die meisten Gespräche — sie ist die einzige verbindliche Quelle</w:t>
            </w:r>
          </w:p>
        </w:tc>
      </w:tr>
      <w:tr>
        <w:trPr>
          <w:cantSplit w:val="true"/>
        </w:trPr>
        <w:tc>
          <w:tcPr>
            <w:tcW w:type="dxa" w:w="510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Was genau würde ich am Tag der Veröffentlichung anders machen müssen?</w:t>
            </w:r>
          </w:p>
        </w:tc>
        <w:tc>
          <w:tcPr>
            <w:tcW w:type="dxa" w:w="45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Eine seriöse Antwort lautet: das wissen wir noch nicht</w:t>
            </w:r>
          </w:p>
        </w:tc>
      </w:tr>
    </w:tbl>
    <w:tbl>
      <w:tblPr>
        <w:tblW w:type="auto" w:w="0"/>
        <w:tblLayout w:type="fixed"/>
        <w:tblLook w:firstColumn="1" w:firstRow="1" w:lastColumn="0" w:lastRow="0" w:noHBand="0" w:noVBand="1" w:val="04A0"/>
      </w:tblPr>
      <w:tblGrid>
        <w:gridCol w:w="4819"/>
        <w:gridCol w:w="4819"/>
      </w:tblGrid>
      <w:tr>
        <w:tc>
          <w:tcPr>
            <w:tcW w:type="dxa" w:w="1474"/>
          </w:tcPr>
          <w:p>
            <w:pPr>
              <w:spacing w:after="20"/>
            </w:pPr>
            <w:r>
              <w:rPr>
                <w:rFonts w:ascii="Aptos" w:hAnsi="Aptos" w:cs="Aptos" w:eastAsia="Aptos"/>
                <w:b/>
                <w:i w:val="0"/>
                <w:color w:val="8C5A2B"/>
                <w:sz w:val="19"/>
              </w:rPr>
              <w:t>Anbieter / Datum</w:t>
            </w:r>
          </w:p>
        </w:tc>
        <w:tc>
          <w:tcPr>
            <w:tcW w:type="dxa" w:w="1928"/>
            <w:tcBorders>
              <w:bottom w:val="single" w:sz="6" w:space="0" w:color="C9BBA6"/>
            </w:tcBorders>
          </w:tcPr>
          <w:p>
            <w:pPr>
              <w:spacing w:after="20"/>
            </w:pPr>
          </w:p>
        </w:tc>
      </w:tr>
      <w:tr>
        <w:tc>
          <w:tcPr>
            <w:tcW w:type="dxa" w:w="1474"/>
          </w:tcPr>
          <w:p>
            <w:pPr>
              <w:spacing w:after="20"/>
            </w:pPr>
            <w:r>
              <w:rPr>
                <w:rFonts w:ascii="Aptos" w:hAnsi="Aptos" w:cs="Aptos" w:eastAsia="Aptos"/>
                <w:b/>
                <w:i w:val="0"/>
                <w:color w:val="8C5A2B"/>
                <w:sz w:val="19"/>
              </w:rPr>
              <w:t>Antwort der Zertifizierungsstelle (Name, Datum)</w:t>
            </w:r>
          </w:p>
        </w:tc>
        <w:tc>
          <w:tcPr>
            <w:tcW w:type="dxa" w:w="1928"/>
            <w:tcBorders>
              <w:bottom w:val="single" w:sz="6" w:space="0" w:color="C9BBA6"/>
            </w:tcBorders>
          </w:tcPr>
          <w:p>
            <w:pPr>
              <w:spacing w:after="20"/>
            </w:pPr>
          </w:p>
        </w:tc>
      </w:tr>
    </w:tbl>
    <w:p>
      <w:pPr>
        <w:keepNext/>
        <w:pageBreakBefore/>
        <w:spacing w:before="280" w:after="80"/>
        <w:pBdr>
          <w:bottom w:val="single" w:sz="6" w:space="2" w:color="C9BBA6"/>
        </w:pBdr>
      </w:pPr>
      <w:r>
        <w:rPr>
          <w:rFonts w:ascii="Aptos" w:hAnsi="Aptos" w:cs="Aptos" w:eastAsia="Aptos"/>
          <w:b/>
          <w:color w:val="8C5A2B"/>
          <w:sz w:val="28"/>
        </w:rPr>
        <w:t>Rahmen für einen Umstellungsplan — erst nach Veröffentlichung füllen</w:t>
      </w:r>
    </w:p>
    <w:tbl>
      <w:tblPr>
        <w:tblW w:type="auto" w:w="0"/>
        <w:jc w:val="center"/>
        <w:tblLook w:firstColumn="1" w:firstRow="1" w:lastColumn="0" w:lastRow="0" w:noHBand="0" w:noVBand="1" w:val="04A0"/>
      </w:tblPr>
      <w:tblGrid>
        <w:gridCol w:w="9638"/>
      </w:tblGrid>
      <w:tr>
        <w:tc>
          <w:tcPr>
            <w:tcW w:type="dxa" w:w="9638"/>
            <w:shd w:val="clear" w:color="auto" w:fill="EFE7DC"/>
            <w:tcBorders>
              <w:left w:val="single" w:sz="24" w:space="0" w:color="8C5A2B"/>
            </w:tcBorders>
          </w:tcPr>
          <w:p>
            <w:pPr>
              <w:spacing w:after="40"/>
            </w:pPr>
            <w:r>
              <w:rPr>
                <w:rFonts w:ascii="Aptos" w:hAnsi="Aptos" w:cs="Aptos" w:eastAsia="Aptos"/>
                <w:b/>
                <w:i w:val="0"/>
                <w:color w:val="8C5A2B"/>
                <w:sz w:val="21"/>
              </w:rPr>
              <w:t>Kein Datum vorgeben</w:t>
            </w:r>
          </w:p>
          <w:p>
            <w:pPr>
              <w:spacing w:after="40"/>
            </w:pPr>
            <w:r>
              <w:rPr>
                <w:rFonts w:ascii="Aptos" w:hAnsi="Aptos" w:cs="Aptos" w:eastAsia="Aptos"/>
                <w:b w:val="0"/>
                <w:i w:val="0"/>
                <w:sz w:val="20"/>
              </w:rPr>
              <w:t>Heute ist kein Termin bekannt. Beginn und Dauer einer Übergangsfrist, zusätzliche Auditzeit und der Auditweg werden erst nach Veröffentlichung der neuen Ausgabe von den zuständigen Akkreditierungs- und Zertifizierungsstrukturen festgelegt. Diese Tabelle ist deshalb kein Plan, sondern ein Rahmen: Tragen Sie Daten erst ein, wenn die offiziellen Regeln und die Mitteilung Ihrer Stelle vorliegen. Eine Anpassung an einen Entwurf ist eine Anpassung an etwas, das noch nicht feststeht.</w:t>
            </w:r>
          </w:p>
        </w:tc>
      </w:tr>
    </w:tbl>
    <w:p>
      <w:pPr>
        <w:spacing w:after="40"/>
      </w:pPr>
    </w:p>
    <w:tbl>
      <w:tblPr>
        <w:tblW w:type="auto" w:w="0"/>
        <w:jc w:val="center"/>
        <w:tblLayout w:type="fixed"/>
        <w:tblLook w:firstColumn="1" w:firstRow="1" w:lastColumn="0" w:lastRow="0" w:noHBand="0" w:noVBand="1" w:val="04A0"/>
      </w:tblPr>
      <w:tblGrid>
        <w:gridCol w:w="2041"/>
        <w:gridCol w:w="2608"/>
        <w:gridCol w:w="3061"/>
        <w:gridCol w:w="1928"/>
      </w:tblGrid>
      <w:tr>
        <w:trPr>
          <w:tblHeader w:val="true"/>
        </w:trPr>
        <w:tc>
          <w:tcPr>
            <w:tcW w:type="dxa" w:w="204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Zeitpunkt</w:t>
            </w:r>
          </w:p>
        </w:tc>
        <w:tc>
          <w:tcPr>
            <w:tcW w:type="dxa" w:w="260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Was geschieht</w:t>
            </w:r>
          </w:p>
        </w:tc>
        <w:tc>
          <w:tcPr>
            <w:tcW w:type="dxa" w:w="306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Was das Haus tut</w:t>
            </w:r>
          </w:p>
        </w:tc>
        <w:tc>
          <w:tcPr>
            <w:tcW w:type="dxa" w:w="192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Datum (laut offiziellen Regeln)</w:t>
            </w:r>
          </w:p>
        </w:tc>
      </w:tr>
      <w:tr>
        <w:trPr>
          <w:cantSplit w:val="true"/>
          <w:trHeight w:val="567" w:hRule="atLeast"/>
        </w:trPr>
        <w:tc>
          <w:tcPr>
            <w:tcW w:type="dxa" w:w="204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7"/>
              </w:rPr>
              <w:t>Veröffentlichung</w:t>
            </w:r>
          </w:p>
        </w:tc>
        <w:tc>
          <w:tcPr>
            <w:tcW w:type="dxa" w:w="260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Die neue Fassung erscheint international</w:t>
            </w:r>
          </w:p>
        </w:tc>
        <w:tc>
          <w:tcPr>
            <w:tcW w:type="dxa" w:w="306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Auskunft der Stelle einholen: Frist, Verfahren, Termin</w:t>
            </w:r>
          </w:p>
        </w:tc>
        <w:tc>
          <w:tcPr>
            <w:tcW w:type="dxa" w:w="192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567" w:hRule="atLeast"/>
        </w:trPr>
        <w:tc>
          <w:tcPr>
            <w:tcW w:type="dxa" w:w="204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7"/>
              </w:rPr>
              <w:t>Nationale Übernahme</w:t>
            </w:r>
          </w:p>
        </w:tc>
        <w:tc>
          <w:tcPr>
            <w:tcW w:type="dxa" w:w="260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Übernahme als nationale Ausgabe</w:t>
            </w:r>
          </w:p>
        </w:tc>
        <w:tc>
          <w:tcPr>
            <w:tcW w:type="dxa" w:w="306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Rechtsverzeichnis und Verweise aktualisieren</w:t>
            </w:r>
          </w:p>
        </w:tc>
        <w:tc>
          <w:tcPr>
            <w:tcW w:type="dxa" w:w="192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r>
      <w:tr>
        <w:trPr>
          <w:cantSplit w:val="true"/>
          <w:trHeight w:val="567" w:hRule="atLeast"/>
        </w:trPr>
        <w:tc>
          <w:tcPr>
            <w:tcW w:type="dxa" w:w="204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7"/>
              </w:rPr>
              <w:t>Beginn der offiziell festgelegten Übergangsregelung</w:t>
            </w:r>
          </w:p>
        </w:tc>
        <w:tc>
          <w:tcPr>
            <w:tcW w:type="dxa" w:w="260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Die Akkreditierungsgemeinschaft legt Dauer und Bedingungen fest</w:t>
            </w:r>
          </w:p>
        </w:tc>
        <w:tc>
          <w:tcPr>
            <w:tcW w:type="dxa" w:w="306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Umstellungstermin in den Zyklus einplanen — nicht ans Ende der Frist</w:t>
            </w:r>
          </w:p>
        </w:tc>
        <w:tc>
          <w:tcPr>
            <w:tcW w:type="dxa" w:w="192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567" w:hRule="atLeast"/>
        </w:trPr>
        <w:tc>
          <w:tcPr>
            <w:tcW w:type="dxa" w:w="204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7"/>
              </w:rPr>
              <w:t>Vorbereitung</w:t>
            </w:r>
          </w:p>
        </w:tc>
        <w:tc>
          <w:tcPr>
            <w:tcW w:type="dxa" w:w="260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Abgleich der Änderungen mit dem eigenen System</w:t>
            </w:r>
          </w:p>
        </w:tc>
        <w:tc>
          <w:tcPr>
            <w:tcW w:type="dxa" w:w="306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Lückenanalyse — jetzt sinnvoll, weil der Text feststeht</w:t>
            </w:r>
          </w:p>
        </w:tc>
        <w:tc>
          <w:tcPr>
            <w:tcW w:type="dxa" w:w="192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r>
      <w:tr>
        <w:trPr>
          <w:cantSplit w:val="true"/>
          <w:trHeight w:val="567" w:hRule="atLeast"/>
        </w:trPr>
        <w:tc>
          <w:tcPr>
            <w:tcW w:type="dxa" w:w="204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7"/>
              </w:rPr>
              <w:t>Umstellungsaudit</w:t>
            </w:r>
          </w:p>
        </w:tc>
        <w:tc>
          <w:tcPr>
            <w:tcW w:type="dxa" w:w="260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Meist im Rahmen eines Überwachungs- oder Rezertifizierungsaudits (nicht zugesichert)</w:t>
            </w:r>
          </w:p>
        </w:tc>
        <w:tc>
          <w:tcPr>
            <w:tcW w:type="dxa" w:w="306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Zusatztage klären; sie fallen häufig an</w:t>
            </w:r>
          </w:p>
        </w:tc>
        <w:tc>
          <w:tcPr>
            <w:tcW w:type="dxa" w:w="192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567" w:hRule="atLeast"/>
        </w:trPr>
        <w:tc>
          <w:tcPr>
            <w:tcW w:type="dxa" w:w="204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7"/>
              </w:rPr>
              <w:t>Neues Zertifikat</w:t>
            </w:r>
          </w:p>
        </w:tc>
        <w:tc>
          <w:tcPr>
            <w:tcW w:type="dxa" w:w="260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Ausstellung mit Bezug auf die neue Fassung</w:t>
            </w:r>
          </w:p>
        </w:tc>
        <w:tc>
          <w:tcPr>
            <w:tcW w:type="dxa" w:w="306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Kommunikation und Verzeichnisse aktualisieren</w:t>
            </w:r>
          </w:p>
        </w:tc>
        <w:tc>
          <w:tcPr>
            <w:tcW w:type="dxa" w:w="192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r>
    </w:tbl>
    <w:tbl>
      <w:tblPr>
        <w:tblW w:type="auto" w:w="0"/>
        <w:tblLayout w:type="fixed"/>
        <w:tblLook w:firstColumn="1" w:firstRow="1" w:lastColumn="0" w:lastRow="0" w:noHBand="0" w:noVBand="1" w:val="04A0"/>
      </w:tblPr>
      <w:tblGrid>
        <w:gridCol w:w="4819"/>
        <w:gridCol w:w="4819"/>
      </w:tblGrid>
      <w:tr>
        <w:tc>
          <w:tcPr>
            <w:tcW w:type="dxa" w:w="1474"/>
          </w:tcPr>
          <w:p>
            <w:pPr>
              <w:spacing w:after="20"/>
            </w:pPr>
            <w:r>
              <w:rPr>
                <w:rFonts w:ascii="Aptos" w:hAnsi="Aptos" w:cs="Aptos" w:eastAsia="Aptos"/>
                <w:b/>
                <w:i w:val="0"/>
                <w:color w:val="8C5A2B"/>
                <w:sz w:val="19"/>
              </w:rPr>
              <w:t>Veröffentlichung am</w:t>
            </w:r>
          </w:p>
        </w:tc>
        <w:tc>
          <w:tcPr>
            <w:tcW w:type="dxa" w:w="1928"/>
            <w:tcBorders>
              <w:bottom w:val="single" w:sz="6" w:space="0" w:color="C9BBA6"/>
            </w:tcBorders>
          </w:tcPr>
          <w:p>
            <w:pPr>
              <w:spacing w:after="20"/>
            </w:pPr>
          </w:p>
        </w:tc>
      </w:tr>
      <w:tr>
        <w:tc>
          <w:tcPr>
            <w:tcW w:type="dxa" w:w="1474"/>
          </w:tcPr>
          <w:p>
            <w:pPr>
              <w:spacing w:after="20"/>
            </w:pPr>
            <w:r>
              <w:rPr>
                <w:rFonts w:ascii="Aptos" w:hAnsi="Aptos" w:cs="Aptos" w:eastAsia="Aptos"/>
                <w:b/>
                <w:i w:val="0"/>
                <w:color w:val="8C5A2B"/>
                <w:sz w:val="19"/>
              </w:rPr>
              <w:t>Übergangsfrist: Beginn / Dauer (Quelle)</w:t>
            </w:r>
          </w:p>
        </w:tc>
        <w:tc>
          <w:tcPr>
            <w:tcW w:type="dxa" w:w="1928"/>
            <w:tcBorders>
              <w:bottom w:val="single" w:sz="6" w:space="0" w:color="C9BBA6"/>
            </w:tcBorders>
          </w:tcPr>
          <w:p>
            <w:pPr>
              <w:spacing w:after="20"/>
            </w:pPr>
          </w:p>
        </w:tc>
      </w:tr>
      <w:tr>
        <w:tc>
          <w:tcPr>
            <w:tcW w:type="dxa" w:w="1474"/>
          </w:tcPr>
          <w:p>
            <w:pPr>
              <w:spacing w:after="20"/>
            </w:pPr>
            <w:r>
              <w:rPr>
                <w:rFonts w:ascii="Aptos" w:hAnsi="Aptos" w:cs="Aptos" w:eastAsia="Aptos"/>
                <w:b/>
                <w:i w:val="0"/>
                <w:color w:val="8C5A2B"/>
                <w:sz w:val="19"/>
              </w:rPr>
              <w:t>Zusatztage laut Stelle</w:t>
            </w:r>
          </w:p>
        </w:tc>
        <w:tc>
          <w:tcPr>
            <w:tcW w:type="dxa" w:w="1928"/>
            <w:tcBorders>
              <w:bottom w:val="single" w:sz="6" w:space="0" w:color="C9BBA6"/>
            </w:tcBorders>
          </w:tcPr>
          <w:p>
            <w:pPr>
              <w:spacing w:after="20"/>
            </w:pPr>
          </w:p>
        </w:tc>
      </w:tr>
      <w:tr>
        <w:tc>
          <w:tcPr>
            <w:tcW w:type="dxa" w:w="1474"/>
          </w:tcPr>
          <w:p>
            <w:pPr>
              <w:spacing w:after="20"/>
            </w:pPr>
            <w:r>
              <w:rPr>
                <w:rFonts w:ascii="Aptos" w:hAnsi="Aptos" w:cs="Aptos" w:eastAsia="Aptos"/>
                <w:b/>
                <w:i w:val="0"/>
                <w:color w:val="8C5A2B"/>
                <w:sz w:val="19"/>
              </w:rPr>
              <w:t>Vereinbarter Umstellungstermin</w:t>
            </w:r>
          </w:p>
        </w:tc>
        <w:tc>
          <w:tcPr>
            <w:tcW w:type="dxa" w:w="1928"/>
            <w:tcBorders>
              <w:bottom w:val="single" w:sz="6" w:space="0" w:color="C9BBA6"/>
            </w:tcBorders>
          </w:tcPr>
          <w:p>
            <w:pPr>
              <w:spacing w:after="20"/>
            </w:pPr>
          </w:p>
        </w:tc>
      </w:tr>
    </w:tbl>
    <w:p>
      <w:pPr>
        <w:spacing w:after="60"/>
      </w:pPr>
    </w:p>
    <w:p>
      <w:pPr>
        <w:spacing w:after="50"/>
        <w:ind w:left="340" w:hanging="227"/>
      </w:pPr>
      <w:r>
        <w:rPr>
          <w:rFonts w:ascii="Aptos" w:hAnsi="Aptos" w:cs="Aptos" w:eastAsia="Aptos"/>
          <w:b/>
          <w:i w:val="0"/>
          <w:color w:val="8C5A2B"/>
        </w:rPr>
        <w:t xml:space="preserve">•  </w:t>
      </w:r>
      <w:r>
        <w:rPr>
          <w:rFonts w:ascii="Aptos" w:hAnsi="Aptos" w:cs="Aptos" w:eastAsia="Aptos"/>
          <w:b/>
          <w:i w:val="0"/>
        </w:rPr>
        <w:t xml:space="preserve">Zu überwachen (nach Veröffentlichung): </w:t>
      </w:r>
      <w:r>
        <w:rPr>
          <w:rFonts w:ascii="Aptos" w:hAnsi="Aptos" w:cs="Aptos" w:eastAsia="Aptos"/>
          <w:b w:val="0"/>
          <w:i w:val="0"/>
        </w:rPr>
        <w:t>Genau zwei Dinge: Beginn und Dauer der Übergangsfrist und der vereinbarte Umstellungstermin, der im ersten Drittel der Frist liegen sollte und nicht im letzten.</w:t>
      </w:r>
    </w:p>
    <w:p>
      <w:pPr>
        <w:keepNext/>
        <w:spacing w:before="160" w:after="60"/>
      </w:pPr>
      <w:r>
        <w:rPr>
          <w:rFonts w:ascii="Aptos" w:hAnsi="Aptos" w:cs="Aptos" w:eastAsia="Aptos"/>
          <w:b/>
          <w:color w:val="8C5A2B"/>
          <w:sz w:val="23"/>
        </w:rPr>
        <w:t>Was heute zu tun ist — und in jeder Fassung gilt</w:t>
      </w:r>
    </w:p>
    <w:p>
      <w:pPr>
        <w:spacing w:after="60"/>
        <w:ind w:left="454" w:hanging="340"/>
      </w:pPr>
      <w:r>
        <w:rPr>
          <w:rFonts w:ascii="Aptos" w:hAnsi="Aptos" w:cs="Aptos" w:eastAsia="Aptos"/>
          <w:b/>
          <w:i w:val="0"/>
          <w:color w:val="8C5A2B"/>
          <w:sz w:val="21"/>
        </w:rPr>
        <w:t xml:space="preserve">☐  </w:t>
      </w:r>
      <w:r>
        <w:rPr>
          <w:rFonts w:ascii="Aptos" w:hAnsi="Aptos" w:cs="Aptos" w:eastAsia="Aptos"/>
          <w:b w:val="0"/>
          <w:i w:val="0"/>
          <w:sz w:val="19"/>
        </w:rPr>
        <w:t>Gefährdungsbeurteilung aktuell und beteiligt halten</w:t>
      </w:r>
    </w:p>
    <w:p>
      <w:pPr>
        <w:spacing w:after="60"/>
        <w:ind w:left="454" w:hanging="340"/>
      </w:pPr>
      <w:r>
        <w:rPr>
          <w:rFonts w:ascii="Aptos" w:hAnsi="Aptos" w:cs="Aptos" w:eastAsia="Aptos"/>
          <w:b/>
          <w:i w:val="0"/>
          <w:color w:val="8C5A2B"/>
          <w:sz w:val="21"/>
        </w:rPr>
        <w:t xml:space="preserve">☐  </w:t>
      </w:r>
      <w:r>
        <w:rPr>
          <w:rFonts w:ascii="Aptos" w:hAnsi="Aptos" w:cs="Aptos" w:eastAsia="Aptos"/>
          <w:b w:val="0"/>
          <w:i w:val="0"/>
          <w:sz w:val="19"/>
        </w:rPr>
        <w:t>Rangfolge der Maßnahmen anwenden</w:t>
      </w:r>
    </w:p>
    <w:p>
      <w:pPr>
        <w:spacing w:after="60"/>
        <w:ind w:left="454" w:hanging="340"/>
      </w:pPr>
      <w:r>
        <w:rPr>
          <w:rFonts w:ascii="Aptos" w:hAnsi="Aptos" w:cs="Aptos" w:eastAsia="Aptos"/>
          <w:b/>
          <w:i w:val="0"/>
          <w:color w:val="8C5A2B"/>
          <w:sz w:val="21"/>
        </w:rPr>
        <w:t xml:space="preserve">☐  </w:t>
      </w:r>
      <w:r>
        <w:rPr>
          <w:rFonts w:ascii="Aptos" w:hAnsi="Aptos" w:cs="Aptos" w:eastAsia="Aptos"/>
          <w:b w:val="0"/>
          <w:i w:val="0"/>
          <w:sz w:val="19"/>
        </w:rPr>
        <w:t>Vorfälle und Beinaheunfälle untersuchen</w:t>
      </w:r>
    </w:p>
    <w:p>
      <w:pPr>
        <w:spacing w:after="60"/>
        <w:ind w:left="454" w:hanging="340"/>
      </w:pPr>
      <w:r>
        <w:rPr>
          <w:rFonts w:ascii="Aptos" w:hAnsi="Aptos" w:cs="Aptos" w:eastAsia="Aptos"/>
          <w:b/>
          <w:i w:val="0"/>
          <w:color w:val="8C5A2B"/>
          <w:sz w:val="21"/>
        </w:rPr>
        <w:t xml:space="preserve">☐  </w:t>
      </w:r>
      <w:r>
        <w:rPr>
          <w:rFonts w:ascii="Aptos" w:hAnsi="Aptos" w:cs="Aptos" w:eastAsia="Aptos"/>
          <w:b w:val="0"/>
          <w:i w:val="0"/>
          <w:sz w:val="19"/>
        </w:rPr>
        <w:t>Wirksamkeit nachweisen statt Durchführung</w:t>
      </w:r>
    </w:p>
    <w:p>
      <w:pPr>
        <w:spacing w:after="60"/>
        <w:ind w:left="454" w:hanging="340"/>
      </w:pPr>
      <w:r>
        <w:rPr>
          <w:rFonts w:ascii="Aptos" w:hAnsi="Aptos" w:cs="Aptos" w:eastAsia="Aptos"/>
          <w:b/>
          <w:i w:val="0"/>
          <w:color w:val="8C5A2B"/>
          <w:sz w:val="21"/>
        </w:rPr>
        <w:t xml:space="preserve">☐  </w:t>
      </w:r>
      <w:r>
        <w:rPr>
          <w:rFonts w:ascii="Aptos" w:hAnsi="Aptos" w:cs="Aptos" w:eastAsia="Aptos"/>
          <w:b w:val="0"/>
          <w:i w:val="0"/>
          <w:sz w:val="19"/>
        </w:rPr>
        <w:t>Klima-Änderung im Kontext prüfen</w:t>
      </w:r>
    </w:p>
    <w:p>
      <w:r>
        <w:rPr>
          <w:rFonts w:ascii="Aptos" w:hAnsi="Aptos" w:cs="Aptos" w:eastAsia="Aptos"/>
          <w:b w:val="0"/>
          <w:i w:val="0"/>
          <w:sz w:val="19"/>
        </w:rPr>
        <w:t>Der Kern überdauert jede Fassung: Die meisten dieser Anforderungen stammen aus dem nationalen Arbeitsschutzrecht, nicht aus der Norm. Eine Revision ändert Formulierungen, Gliederung und Betonungen — nicht, dass jemand um halb sechs eine Last über eine nasse Rampe trägt oder eben nicht mehr.</w:t>
      </w:r>
    </w:p>
    <w:p>
      <w:pPr>
        <w:keepNext/>
        <w:spacing w:before="160" w:after="60"/>
      </w:pPr>
      <w:r>
        <w:rPr>
          <w:rFonts w:ascii="Aptos" w:hAnsi="Aptos" w:cs="Aptos" w:eastAsia="Aptos"/>
          <w:b/>
          <w:color w:val="8C5A2B"/>
          <w:sz w:val="23"/>
        </w:rPr>
        <w:t>Was diese Vorlage nicht ist</w:t>
      </w:r>
    </w:p>
    <w:p>
      <w:pPr>
        <w:jc w:val="both"/>
      </w:pPr>
      <w:r>
        <w:rPr>
          <w:rFonts w:ascii="Aptos" w:hAnsi="Aptos" w:cs="Aptos" w:eastAsia="Aptos"/>
          <w:b w:val="0"/>
          <w:i w:val="0"/>
          <w:sz w:val="19"/>
        </w:rPr>
        <w:t>Diese Vorlage ersetzt weder die Norm noch eine Rechtsberatung, kein Audit und keine Gefährdungsbeurteilung des konkreten Hauses, und sie nimmt das Urteil der Zertifizierungsstelle nicht vorweg; für Ihr Zertifikat ist nur deren Auskunft verbindlich. Sie nennt keine Fristen und keine Pflichten aus einem Entwurf: Ein Entwurf ist nicht bindend. Verbindlich ist die jeweils gültige Fassung von Gesetz und Norm; die Normtexte selbst sind beim nationalen Normungsinstitut zu beziehen.</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s="Aptos" w:eastAsia="Aptos"/>
        <w:color w:val="7A6A55"/>
        <w:sz w:val="16"/>
      </w:rPr>
      <w:t xml:space="preserve">Das Steuer und die Lupe · Band 3b · ISO 45001 · buecher.effedore.com  ·  Seite </w:t>
    </w:r>
    <w:r>
      <w:rPr>
        <w:rFonts w:ascii="Aptos" w:hAnsi="Aptos" w:cs="Aptos" w:eastAsia="Aptos"/>
        <w:color w:val="7A6A55"/>
        <w:sz w:val="16"/>
      </w:rPr>
      <w:fldChar w:fldCharType="begin"/>
      <w:instrText xml:space="preserve"> PAGE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ptos" w:hAnsi="Aptos" w:eastAsia="Aptos"/>
      <w:color w:val="2B2B2B"/>
      <w:sz w:val="21"/>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