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cs="Aptos" w:eastAsia="Aptos"/>
          <w:b/>
          <w:color w:val="7A6A55"/>
          <w:sz w:val="17"/>
        </w:rPr>
        <w:t>VORLAGE ZU ABSCHNITT 4.6 DES BANDES 3B</w:t>
      </w:r>
    </w:p>
    <w:p>
      <w:pPr>
        <w:spacing w:after="60"/>
        <w:pBdr>
          <w:bottom w:val="single" w:sz="8" w:space="4" w:color="C9BBA6"/>
        </w:pBdr>
      </w:pPr>
      <w:r>
        <w:rPr>
          <w:rFonts w:ascii="Aptos" w:hAnsi="Aptos" w:cs="Aptos" w:eastAsia="Aptos"/>
          <w:b/>
          <w:color w:val="8C5A2B"/>
          <w:sz w:val="42"/>
        </w:rPr>
        <w:t>Vorbereitungsraster für die kritischen Bereiche</w:t>
      </w:r>
    </w:p>
    <w:p>
      <w:pPr>
        <w:spacing w:before="80" w:after="200"/>
      </w:pPr>
      <w:r>
        <w:rPr>
          <w:rFonts w:ascii="Aptos" w:hAnsi="Aptos" w:cs="Aptos" w:eastAsia="Aptos"/>
          <w:i/>
          <w:color w:val="7A6A55"/>
          <w:sz w:val="21"/>
        </w:rPr>
        <w:t>Vier Raster und sechs Fragen für die Bereichsleitungen – damit der Befund vor dem Auditor bei Ihnen liegt</w:t>
      </w:r>
    </w:p>
    <w:p>
      <w:pPr>
        <w:spacing w:after="120"/>
      </w:pPr>
      <w:r>
        <w:rPr>
          <w:rFonts w:ascii="Aptos" w:hAnsi="Aptos" w:cs="Aptos" w:eastAsia="Aptos"/>
          <w:b w:val="0"/>
          <w:i/>
          <w:color w:val="7A6A55"/>
          <w:sz w:val="19"/>
        </w:rPr>
        <w:t>Bezug im Buch: Abschnitt 4.6 (Kritische Hotelbereiche in der ISO 45001); Klauseln 4.3, 8.1.3 und 6.1.2.1 wie dort genannt; Verweise auf 3.9 (Fremdfirmen) und 3.10 (Alleinarbeit in der Nacht).</w:t>
      </w:r>
    </w:p>
    <w:tbl>
      <w:tblPr>
        <w:tblW w:type="auto" w:w="0"/>
        <w:jc w:val="center"/>
        <w:tblLook w:firstColumn="1" w:firstRow="1" w:lastColumn="0" w:lastRow="0" w:noHBand="0" w:noVBand="1" w:val="04A0"/>
      </w:tblPr>
      <w:tblGrid>
        <w:gridCol w:w="9638"/>
      </w:tblGrid>
      <w:tr>
        <w:tc>
          <w:tcPr>
            <w:tcW w:type="dxa" w:w="9638"/>
            <w:shd w:val="clear" w:color="auto" w:fill="EFE7DC"/>
            <w:tcBorders>
              <w:left w:val="single" w:sz="24" w:space="0" w:color="8C5A2B"/>
            </w:tcBorders>
          </w:tcPr>
          <w:p>
            <w:pPr>
              <w:spacing w:after="40"/>
            </w:pPr>
            <w:r>
              <w:rPr>
                <w:rFonts w:ascii="Aptos" w:hAnsi="Aptos" w:cs="Aptos" w:eastAsia="Aptos"/>
                <w:b/>
                <w:i w:val="0"/>
                <w:color w:val="8C5A2B"/>
                <w:sz w:val="21"/>
              </w:rPr>
              <w:t>So nutzen Sie diese Vorlage</w:t>
            </w:r>
          </w:p>
          <w:p>
            <w:pPr>
              <w:spacing w:after="40"/>
            </w:pPr>
            <w:r>
              <w:rPr>
                <w:rFonts w:ascii="Aptos" w:hAnsi="Aptos" w:cs="Aptos" w:eastAsia="Aptos"/>
                <w:b w:val="0"/>
                <w:i w:val="0"/>
                <w:sz w:val="20"/>
              </w:rPr>
              <w:t>1.  Gehen Sie mit jeder Bereichsleitung die sechs Fragen der Kette durch und danach das Raster ihres Bereichs, Zeile für Zeile. Notieren Sie die Antwort der Bereichsleitung – nicht Ihre eigene.</w:t>
              <w:br/>
              <w:t>2.  Wo eine Antwort fehlt, haben Sie den Befund vor dem Auditor und können ihn beheben oder benennen. Das ist der ganze Zweck: ein Hilfsmittel für den Blick, kein Ablagestück und keine Vorführung.</w:t>
              <w:br/>
              <w:t>3.  Fragen Sie nach Zahlen, nicht nach Beschreibungen: Wie viele Zimmer reinigt eine Kraft in einer Schicht? Wie oft wird die Beckenchemie gewechselt, und von wem? Wie viele Personen sind nachts im Haus? Eine Beurteilung ohne eine einzige Zahl ist mit hoher Wahrscheinlichkeit am Schreibtisch entstanden.</w:t>
              <w:br/>
              <w:t>4.  Achten Sie besonders auf Tätigkeiten außerhalb der Bürozeiten und auf solche, die Fremde ausführen – dort plant ein Auditor mit Hotelerfahrung seine Zeiten.</w:t>
            </w:r>
          </w:p>
        </w:tc>
      </w:tr>
    </w:tbl>
    <w:p>
      <w:pPr>
        <w:spacing w:after="40"/>
      </w:pPr>
    </w:p>
    <w:p>
      <w:pPr>
        <w:keepNext/>
        <w:pageBreakBefore w:val="0"/>
        <w:spacing w:before="280" w:after="80"/>
        <w:pBdr>
          <w:bottom w:val="single" w:sz="6" w:space="2" w:color="C9BBA6"/>
        </w:pBdr>
      </w:pPr>
      <w:r>
        <w:rPr>
          <w:rFonts w:ascii="Aptos" w:hAnsi="Aptos" w:cs="Aptos" w:eastAsia="Aptos"/>
          <w:b/>
          <w:color w:val="8C5A2B"/>
          <w:sz w:val="28"/>
        </w:rPr>
        <w:t>Die Kette: sechs Fragen an jede Bereichsleitung</w:t>
      </w:r>
    </w:p>
    <w:p>
      <w:pPr>
        <w:jc w:val="both"/>
      </w:pPr>
      <w:r>
        <w:rPr>
          <w:rFonts w:ascii="Aptos" w:hAnsi="Aptos" w:cs="Aptos" w:eastAsia="Aptos"/>
          <w:b w:val="0"/>
          <w:i w:val="0"/>
          <w:sz w:val="19"/>
        </w:rPr>
        <w:t>Der externe Auditor prüft je Bereich nicht alles, sondern eine Kette – und sucht darin das schwächste Glied. Die Kette ist in jedem Bereich dieselbe. Markieren Sie nach dem Gespräch, in welchem Raster (A bis D) ein Glied gerissen ist.</w:t>
      </w:r>
    </w:p>
    <w:tbl>
      <w:tblPr>
        <w:tblW w:type="auto" w:w="0"/>
        <w:jc w:val="center"/>
        <w:tblLayout w:type="fixed"/>
        <w:tblLook w:firstColumn="1" w:firstRow="1" w:lastColumn="0" w:lastRow="0" w:noHBand="0" w:noVBand="1" w:val="04A0"/>
        <w:tblLayout w:type="fixed"/>
      </w:tblPr>
      <w:tblGrid>
        <w:gridCol w:w="1814"/>
        <w:gridCol w:w="3061"/>
        <w:gridCol w:w="2608"/>
        <w:gridCol w:w="538"/>
        <w:gridCol w:w="538"/>
        <w:gridCol w:w="538"/>
        <w:gridCol w:w="538"/>
      </w:tblGrid>
      <w:tr>
        <w:trPr>
          <w:tblHeader w:val="true"/>
        </w:trPr>
        <w:tc>
          <w:tcPr>
            <w:tcW w:type="dxa" w:w="181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Glied</w:t>
            </w:r>
          </w:p>
        </w:tc>
        <w:tc>
          <w:tcPr>
            <w:tcW w:type="dxa" w:w="30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Die Frage im Bereich</w:t>
            </w:r>
          </w:p>
        </w:tc>
        <w:tc>
          <w:tcPr>
            <w:tcW w:type="dxa" w:w="260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Wo es typischerweise reißt</w:t>
            </w:r>
          </w:p>
        </w:tc>
        <w:tc>
          <w:tcPr>
            <w:tcW w:type="dxa" w:w="53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A</w:t>
            </w:r>
          </w:p>
        </w:tc>
        <w:tc>
          <w:tcPr>
            <w:tcW w:type="dxa" w:w="53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B</w:t>
            </w:r>
          </w:p>
        </w:tc>
        <w:tc>
          <w:tcPr>
            <w:tcW w:type="dxa" w:w="53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C</w:t>
            </w:r>
          </w:p>
        </w:tc>
        <w:tc>
          <w:tcPr>
            <w:tcW w:type="dxa" w:w="53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D</w:t>
            </w:r>
          </w:p>
        </w:tc>
      </w:tr>
      <w:tr>
        <w:trPr>
          <w:cantSplit w:val="true"/>
          <w:trHeight w:val="567" w:hRule="atLeast"/>
        </w:trPr>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Gefährdung erfasst</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Steht die Tätigkeit in der Beurteilung?</w:t>
            </w:r>
          </w:p>
        </w:tc>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Neue Bereiche, Randzeiten, seltene Arbeiten</w:t>
            </w:r>
          </w:p>
        </w:tc>
        <w:tc>
          <w:tcPr>
            <w:tcW w:type="dxa" w:w="53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c>
          <w:tcPr>
            <w:tcW w:type="dxa" w:w="53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c>
          <w:tcPr>
            <w:tcW w:type="dxa" w:w="53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c>
          <w:tcPr>
            <w:tcW w:type="dxa" w:w="53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r>
      <w:tr>
        <w:trPr>
          <w:cantSplit w:val="true"/>
          <w:trHeight w:val="567" w:hRule="atLeast"/>
        </w:trPr>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Maßnahme festgelegt</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Welche, und auf welcher Stufe der Rangfolge?</w:t>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Alles auf Schutzausrüstung</w:t>
            </w:r>
          </w:p>
        </w:tc>
        <w:tc>
          <w:tcPr>
            <w:tcW w:type="dxa" w:w="53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c>
          <w:tcPr>
            <w:tcW w:type="dxa" w:w="53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c>
          <w:tcPr>
            <w:tcW w:type="dxa" w:w="53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c>
          <w:tcPr>
            <w:tcW w:type="dxa" w:w="53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r>
      <w:tr>
        <w:trPr>
          <w:cantSplit w:val="true"/>
          <w:trHeight w:val="567" w:hRule="atLeast"/>
        </w:trPr>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Mittel beschafft</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Ist vorhanden, was die Maßnahme verlangt?</w:t>
            </w:r>
          </w:p>
        </w:tc>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Größe, Menge, Nachbestellung</w:t>
            </w:r>
          </w:p>
        </w:tc>
        <w:tc>
          <w:tcPr>
            <w:tcW w:type="dxa" w:w="53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c>
          <w:tcPr>
            <w:tcW w:type="dxa" w:w="53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c>
          <w:tcPr>
            <w:tcW w:type="dxa" w:w="53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c>
          <w:tcPr>
            <w:tcW w:type="dxa" w:w="53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r>
      <w:tr>
        <w:trPr>
          <w:cantSplit w:val="true"/>
          <w:trHeight w:val="567" w:hRule="atLeast"/>
        </w:trPr>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Menschen befähigt</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Unterwiesen, verstanden, vorführbar?</w:t>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Aushilfen, Sprache, Versetzungen</w:t>
            </w:r>
          </w:p>
        </w:tc>
        <w:tc>
          <w:tcPr>
            <w:tcW w:type="dxa" w:w="53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c>
          <w:tcPr>
            <w:tcW w:type="dxa" w:w="53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c>
          <w:tcPr>
            <w:tcW w:type="dxa" w:w="53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c>
          <w:tcPr>
            <w:tcW w:type="dxa" w:w="53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r>
      <w:tr>
        <w:trPr>
          <w:cantSplit w:val="true"/>
          <w:trHeight w:val="567" w:hRule="atLeast"/>
        </w:trPr>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Technik geprüft</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Prüffristen eingehalten und nachgewiesen?</w:t>
            </w:r>
          </w:p>
        </w:tc>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Selten benutzte Geräte</w:t>
            </w:r>
          </w:p>
        </w:tc>
        <w:tc>
          <w:tcPr>
            <w:tcW w:type="dxa" w:w="53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c>
          <w:tcPr>
            <w:tcW w:type="dxa" w:w="53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c>
          <w:tcPr>
            <w:tcW w:type="dxa" w:w="53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c>
          <w:tcPr>
            <w:tcW w:type="dxa" w:w="53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r>
      <w:tr>
        <w:trPr>
          <w:cantSplit w:val="true"/>
          <w:trHeight w:val="567" w:hRule="atLeast"/>
        </w:trPr>
        <w:tc>
          <w:tcPr>
            <w:tcW w:type="dxa" w:w="181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Wirksamkeit belegt</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Wirkt es im Betrieb – und wer hat das geprüft?</w:t>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Nie nachgesehen</w:t>
            </w:r>
          </w:p>
        </w:tc>
        <w:tc>
          <w:tcPr>
            <w:tcW w:type="dxa" w:w="53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c>
          <w:tcPr>
            <w:tcW w:type="dxa" w:w="53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c>
          <w:tcPr>
            <w:tcW w:type="dxa" w:w="53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c>
          <w:tcPr>
            <w:tcW w:type="dxa" w:w="53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r>
    </w:tbl>
    <w:p>
      <w:r>
        <w:rPr>
          <w:rFonts w:ascii="Aptos" w:hAnsi="Aptos" w:cs="Aptos" w:eastAsia="Aptos"/>
          <w:b w:val="0"/>
          <w:i/>
          <w:color w:val="7A6A55"/>
          <w:sz w:val="17"/>
        </w:rPr>
        <w:t>A  Küche, Spüle, Anlieferung   ·   B  Wäscherei, Haustechnik, Arbeiten in Höhe   ·   C  Etage, Bankett, Empfang, Nacht   ·   D  Wellness, Pool, Technikraum</w:t>
      </w:r>
    </w:p>
    <w:p>
      <w:pPr>
        <w:spacing w:after="40"/>
      </w:pPr>
    </w:p>
    <w:p>
      <w:pPr>
        <w:keepNext/>
        <w:spacing w:before="160" w:after="60"/>
      </w:pPr>
      <w:r>
        <w:rPr>
          <w:rFonts w:ascii="Aptos" w:hAnsi="Aptos" w:cs="Aptos" w:eastAsia="Aptos"/>
          <w:b/>
          <w:color w:val="8C5A2B"/>
          <w:sz w:val="23"/>
        </w:rPr>
        <w:t>Zusätzlich fragen – die Gäste</w:t>
      </w:r>
    </w:p>
    <w:p>
      <w:pPr>
        <w:jc w:val="both"/>
      </w:pPr>
      <w:r>
        <w:rPr>
          <w:rFonts w:ascii="Aptos" w:hAnsi="Aptos" w:cs="Aptos" w:eastAsia="Aptos"/>
          <w:b w:val="0"/>
          <w:i w:val="0"/>
          <w:sz w:val="19"/>
        </w:rPr>
        <w:t>In denselben Räumen halten sich Menschen auf, die weder unterwiesen noch geschützt sind. Sind Gäste in der Beurteilung berücksichtigt – als Quelle von Gefährdungen und als gefährdete Personen? Wie werden Arbeiten im Gastbereich gesteuert (Reinigung, Wartung, Umbau)? Was geschieht bei Konflikt, Bedrohung oder übergriffigem Verhalten?</w:t>
      </w:r>
    </w:p>
    <w:p>
      <w:pPr>
        <w:keepNext/>
        <w:pageBreakBefore/>
        <w:spacing w:before="280" w:after="80"/>
        <w:pBdr>
          <w:bottom w:val="single" w:sz="6" w:space="2" w:color="C9BBA6"/>
        </w:pBdr>
      </w:pPr>
      <w:r>
        <w:rPr>
          <w:rFonts w:ascii="Aptos" w:hAnsi="Aptos" w:cs="Aptos" w:eastAsia="Aptos"/>
          <w:b/>
          <w:color w:val="8C5A2B"/>
          <w:sz w:val="28"/>
        </w:rPr>
        <w:t>A  Küche, Spüle und Anlieferung</w:t>
      </w: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Bereichsleitung</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Gespräch am</w:t>
            </w:r>
          </w:p>
        </w:tc>
        <w:tc>
          <w:tcPr>
            <w:tcW w:type="dxa" w:w="3005"/>
            <w:tcBorders>
              <w:bottom w:val="single" w:sz="6" w:space="0" w:color="C9BBA6"/>
            </w:tcBorders>
          </w:tcPr>
          <w:p>
            <w:pPr>
              <w:spacing w:after="20"/>
            </w:pPr>
          </w:p>
        </w:tc>
      </w:tr>
    </w:tbl>
    <w:p>
      <w:pPr>
        <w:spacing w:after="60"/>
      </w:pPr>
    </w:p>
    <w:tbl>
      <w:tblPr>
        <w:tblW w:type="auto" w:w="0"/>
        <w:jc w:val="center"/>
        <w:tblLayout w:type="fixed"/>
        <w:tblLook w:firstColumn="1" w:firstRow="1" w:lastColumn="0" w:lastRow="0" w:noHBand="0" w:noVBand="1" w:val="04A0"/>
        <w:tblLayout w:type="fixed"/>
      </w:tblPr>
      <w:tblGrid>
        <w:gridCol w:w="2608"/>
        <w:gridCol w:w="2268"/>
        <w:gridCol w:w="3628"/>
        <w:gridCol w:w="1134"/>
      </w:tblGrid>
      <w:tr>
        <w:trPr>
          <w:tblHeader w:val="true"/>
        </w:trPr>
        <w:tc>
          <w:tcPr>
            <w:tcW w:type="dxa" w:w="260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der Auditor sehen will</w:t>
            </w:r>
          </w:p>
        </w:tc>
        <w:tc>
          <w:tcPr>
            <w:tcW w:type="dxa" w:w="226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Häufigster Befund</w:t>
            </w:r>
          </w:p>
        </w:tc>
        <w:tc>
          <w:tcPr>
            <w:tcW w:type="dxa" w:w="36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Antwort der Bereichsleitung</w:t>
            </w:r>
          </w:p>
        </w:tc>
        <w:tc>
          <w:tcPr>
            <w:tcW w:type="dxa" w:w="113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Stand</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Schutzeinrichtungen an Maschinen in Funktion, nicht überbrückt</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Überbrückung an Fritteuse, Aufschnittmaschine oder Kipper</w:t>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Gefahrstoffverzeichnis gegen das, was tatsächlich steht</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Mittel im Regal, das im Verzeichnis fehlt</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Umfüllung: Dosieranlage oder Handbetrieb, Kennzeichnung</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Unbeschriftete Sprühflaschen</w:t>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Prüfnachweise der Geräte gegen die vorhandenen Geräte</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Ein Gerät ohne Nachweis – meist ein selten benutztes</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Verkehrswege und Böden in der Servicespitze</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Nur in der Ruhe geprüft, nie unter Last</w:t>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Anlieferung: Hilfsmittel, Wege, Uhrzeit</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Rollwagen defekt, Meldeweg mündlich</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belegt</w:t>
              <w:br/>
              <w:t>☐ Lücke</w:t>
            </w:r>
          </w:p>
        </w:tc>
      </w:tr>
    </w:tbl>
    <w:p>
      <w:r>
        <w:rPr>
          <w:rFonts w:ascii="Aptos" w:hAnsi="Aptos" w:cs="Aptos" w:eastAsia="Aptos"/>
          <w:b w:val="0"/>
          <w:i/>
          <w:color w:val="7A6A55"/>
          <w:sz w:val="17"/>
        </w:rPr>
        <w:t>Hinweis: Die Anlieferung steht in Auditplänen zunehmend früh am Morgen. Der Auditor wird eingeplant wie ein Lieferant – mit Schlüssel und Ansprechpartner (Abschnitt 4.5).</w:t>
      </w:r>
    </w:p>
    <w:p>
      <w:pPr>
        <w:keepNext/>
        <w:spacing w:before="160" w:after="60"/>
      </w:pPr>
      <w:r>
        <w:rPr>
          <w:rFonts w:ascii="Aptos" w:hAnsi="Aptos" w:cs="Aptos" w:eastAsia="Aptos"/>
          <w:b/>
          <w:color w:val="8C5A2B"/>
          <w:sz w:val="23"/>
        </w:rPr>
        <w:t>Wo eine Antwort fehlt: beheben oder benennen</w:t>
      </w:r>
    </w:p>
    <w:p>
      <w:pPr>
        <w:spacing w:after="60"/>
      </w:pPr>
      <w:r>
        <w:rPr>
          <w:rFonts w:ascii="Aptos" w:hAnsi="Aptos" w:cs="Aptos" w:eastAsia="Aptos"/>
          <w:b w:val="0"/>
          <w:i w:val="0"/>
          <w:sz w:val="18"/>
        </w:rPr>
        <w:t>Eine bekannte, benannte Lücke mit Plan ist der beste Zustand vor einem Audit. In die Maßnahmenliste mit dem normalen Termin – nicht mit dem Audittermin.</w:t>
      </w:r>
    </w:p>
    <w:tbl>
      <w:tblPr>
        <w:tblW w:type="auto" w:w="0"/>
        <w:jc w:val="center"/>
        <w:tblLayout w:type="fixed"/>
        <w:tblLook w:firstColumn="1" w:firstRow="1" w:lastColumn="0" w:lastRow="0" w:noHBand="0" w:noVBand="1" w:val="04A0"/>
        <w:tblLayout w:type="fixed"/>
      </w:tblPr>
      <w:tblGrid>
        <w:gridCol w:w="3628"/>
        <w:gridCol w:w="2381"/>
        <w:gridCol w:w="1927"/>
        <w:gridCol w:w="1701"/>
      </w:tblGrid>
      <w:tr>
        <w:trPr>
          <w:tblHeader w:val="true"/>
        </w:trPr>
        <w:tc>
          <w:tcPr>
            <w:tcW w:type="dxa" w:w="36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Lücke (Zeile / Frage)</w:t>
            </w:r>
          </w:p>
        </w:tc>
        <w:tc>
          <w:tcPr>
            <w:tcW w:type="dxa" w:w="238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Beheben oder benennen?</w:t>
            </w:r>
          </w:p>
        </w:tc>
        <w:tc>
          <w:tcPr>
            <w:tcW w:type="dxa" w:w="19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Wer</w:t>
            </w:r>
          </w:p>
        </w:tc>
        <w:tc>
          <w:tcPr>
            <w:tcW w:type="dxa" w:w="170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Bis wann</w:t>
            </w:r>
          </w:p>
        </w:tc>
      </w:tr>
      <w:tr>
        <w:trPr>
          <w:cantSplit w:val="true"/>
          <w:trHeight w:val="567"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r>
        <w:trPr>
          <w:cantSplit w:val="true"/>
          <w:trHeight w:val="567" w:hRule="atLeast"/>
        </w:trPr>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r>
      <w:tr>
        <w:trPr>
          <w:cantSplit w:val="true"/>
          <w:trHeight w:val="567"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r>
        <w:trPr>
          <w:cantSplit w:val="true"/>
          <w:trHeight w:val="567" w:hRule="atLeast"/>
        </w:trPr>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r>
    </w:tbl>
    <w:p>
      <w:pPr>
        <w:keepNext/>
        <w:pageBreakBefore/>
        <w:spacing w:before="280" w:after="80"/>
        <w:pBdr>
          <w:bottom w:val="single" w:sz="6" w:space="2" w:color="C9BBA6"/>
        </w:pBdr>
      </w:pPr>
      <w:r>
        <w:rPr>
          <w:rFonts w:ascii="Aptos" w:hAnsi="Aptos" w:cs="Aptos" w:eastAsia="Aptos"/>
          <w:b/>
          <w:color w:val="8C5A2B"/>
          <w:sz w:val="28"/>
        </w:rPr>
        <w:t>B  Wäscherei, Haustechnik und Arbeiten in Höhe</w:t>
      </w: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Bereichsleitung</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Gespräch am</w:t>
            </w:r>
          </w:p>
        </w:tc>
        <w:tc>
          <w:tcPr>
            <w:tcW w:type="dxa" w:w="3005"/>
            <w:tcBorders>
              <w:bottom w:val="single" w:sz="6" w:space="0" w:color="C9BBA6"/>
            </w:tcBorders>
          </w:tcPr>
          <w:p>
            <w:pPr>
              <w:spacing w:after="20"/>
            </w:pPr>
          </w:p>
        </w:tc>
      </w:tr>
    </w:tbl>
    <w:p>
      <w:pPr>
        <w:spacing w:after="60"/>
      </w:pPr>
    </w:p>
    <w:tbl>
      <w:tblPr>
        <w:tblW w:type="auto" w:w="0"/>
        <w:jc w:val="center"/>
        <w:tblLayout w:type="fixed"/>
        <w:tblLook w:firstColumn="1" w:firstRow="1" w:lastColumn="0" w:lastRow="0" w:noHBand="0" w:noVBand="1" w:val="04A0"/>
        <w:tblLayout w:type="fixed"/>
      </w:tblPr>
      <w:tblGrid>
        <w:gridCol w:w="2608"/>
        <w:gridCol w:w="2268"/>
        <w:gridCol w:w="3628"/>
        <w:gridCol w:w="1134"/>
      </w:tblGrid>
      <w:tr>
        <w:trPr>
          <w:tblHeader w:val="true"/>
        </w:trPr>
        <w:tc>
          <w:tcPr>
            <w:tcW w:type="dxa" w:w="260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der Auditor sehen will</w:t>
            </w:r>
          </w:p>
        </w:tc>
        <w:tc>
          <w:tcPr>
            <w:tcW w:type="dxa" w:w="226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Häufigster Befund</w:t>
            </w:r>
          </w:p>
        </w:tc>
        <w:tc>
          <w:tcPr>
            <w:tcW w:type="dxa" w:w="36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Antwort der Bereichsleitung</w:t>
            </w:r>
          </w:p>
        </w:tc>
        <w:tc>
          <w:tcPr>
            <w:tcW w:type="dxa" w:w="113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Stand</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Not-Halt erreichbar und erprobt</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Zugestellt oder nie betätigt</w:t>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Chemiedosierung geschlossen oder mit Schutzausrüstung</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Umfüllen von Hand ohne passende Ausrüstung</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Klimabelastung erfasst und beurteilt</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Hitze und Feuchte fehlen in der Beurteilung</w:t>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Freischaltung und Alleinarbeit geregelt</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Keine Regelung für den Techniker allein im Keller</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Zugang zum Dach, Absturzsicherung, Anschlagpunkte</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Leiter statt geeignetem Hilfsmittel</w:t>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Prüffristen elektrischer Betriebsmittel</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Provisorien im Dauerbetrieb</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belegt</w:t>
              <w:br/>
              <w:t>☐ Lücke</w:t>
            </w:r>
          </w:p>
        </w:tc>
      </w:tr>
    </w:tbl>
    <w:p>
      <w:r>
        <w:rPr>
          <w:rFonts w:ascii="Aptos" w:hAnsi="Aptos" w:cs="Aptos" w:eastAsia="Aptos"/>
          <w:b w:val="0"/>
          <w:i/>
          <w:color w:val="7A6A55"/>
          <w:sz w:val="17"/>
        </w:rPr>
        <w:t>Hinweis: Wartungsfirmen und Monteure gehören dazu – wer hat sie eingewiesen? Die Antwort betrifft nicht die Firma, sondern das Haus (Abschnitte 3.9, 4.5).</w:t>
      </w:r>
    </w:p>
    <w:p>
      <w:pPr>
        <w:keepNext/>
        <w:spacing w:before="160" w:after="60"/>
      </w:pPr>
      <w:r>
        <w:rPr>
          <w:rFonts w:ascii="Aptos" w:hAnsi="Aptos" w:cs="Aptos" w:eastAsia="Aptos"/>
          <w:b/>
          <w:color w:val="8C5A2B"/>
          <w:sz w:val="23"/>
        </w:rPr>
        <w:t>Wo eine Antwort fehlt: beheben oder benennen</w:t>
      </w:r>
    </w:p>
    <w:p>
      <w:pPr>
        <w:spacing w:after="60"/>
      </w:pPr>
      <w:r>
        <w:rPr>
          <w:rFonts w:ascii="Aptos" w:hAnsi="Aptos" w:cs="Aptos" w:eastAsia="Aptos"/>
          <w:b w:val="0"/>
          <w:i w:val="0"/>
          <w:sz w:val="18"/>
        </w:rPr>
        <w:t>Eine bekannte, benannte Lücke mit Plan ist der beste Zustand vor einem Audit. In die Maßnahmenliste mit dem normalen Termin – nicht mit dem Audittermin.</w:t>
      </w:r>
    </w:p>
    <w:tbl>
      <w:tblPr>
        <w:tblW w:type="auto" w:w="0"/>
        <w:jc w:val="center"/>
        <w:tblLayout w:type="fixed"/>
        <w:tblLook w:firstColumn="1" w:firstRow="1" w:lastColumn="0" w:lastRow="0" w:noHBand="0" w:noVBand="1" w:val="04A0"/>
        <w:tblLayout w:type="fixed"/>
      </w:tblPr>
      <w:tblGrid>
        <w:gridCol w:w="3628"/>
        <w:gridCol w:w="2381"/>
        <w:gridCol w:w="1927"/>
        <w:gridCol w:w="1701"/>
      </w:tblGrid>
      <w:tr>
        <w:trPr>
          <w:tblHeader w:val="true"/>
        </w:trPr>
        <w:tc>
          <w:tcPr>
            <w:tcW w:type="dxa" w:w="36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Lücke (Zeile / Frage)</w:t>
            </w:r>
          </w:p>
        </w:tc>
        <w:tc>
          <w:tcPr>
            <w:tcW w:type="dxa" w:w="238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Beheben oder benennen?</w:t>
            </w:r>
          </w:p>
        </w:tc>
        <w:tc>
          <w:tcPr>
            <w:tcW w:type="dxa" w:w="19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Wer</w:t>
            </w:r>
          </w:p>
        </w:tc>
        <w:tc>
          <w:tcPr>
            <w:tcW w:type="dxa" w:w="170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Bis wann</w:t>
            </w:r>
          </w:p>
        </w:tc>
      </w:tr>
      <w:tr>
        <w:trPr>
          <w:cantSplit w:val="true"/>
          <w:trHeight w:val="567"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r>
        <w:trPr>
          <w:cantSplit w:val="true"/>
          <w:trHeight w:val="567" w:hRule="atLeast"/>
        </w:trPr>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r>
      <w:tr>
        <w:trPr>
          <w:cantSplit w:val="true"/>
          <w:trHeight w:val="567"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r>
        <w:trPr>
          <w:cantSplit w:val="true"/>
          <w:trHeight w:val="567" w:hRule="atLeast"/>
        </w:trPr>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r>
    </w:tbl>
    <w:p>
      <w:pPr>
        <w:keepNext/>
        <w:pageBreakBefore/>
        <w:spacing w:before="280" w:after="80"/>
        <w:pBdr>
          <w:bottom w:val="single" w:sz="6" w:space="2" w:color="C9BBA6"/>
        </w:pBdr>
      </w:pPr>
      <w:r>
        <w:rPr>
          <w:rFonts w:ascii="Aptos" w:hAnsi="Aptos" w:cs="Aptos" w:eastAsia="Aptos"/>
          <w:b/>
          <w:color w:val="8C5A2B"/>
          <w:sz w:val="28"/>
        </w:rPr>
        <w:t>C  Etage, Bankett, Empfang und Nacht</w:t>
      </w: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Bereichsleitung</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Gespräch am</w:t>
            </w:r>
          </w:p>
        </w:tc>
        <w:tc>
          <w:tcPr>
            <w:tcW w:type="dxa" w:w="3005"/>
            <w:tcBorders>
              <w:bottom w:val="single" w:sz="6" w:space="0" w:color="C9BBA6"/>
            </w:tcBorders>
          </w:tcPr>
          <w:p>
            <w:pPr>
              <w:spacing w:after="20"/>
            </w:pPr>
          </w:p>
        </w:tc>
      </w:tr>
    </w:tbl>
    <w:p>
      <w:pPr>
        <w:spacing w:after="60"/>
      </w:pPr>
    </w:p>
    <w:tbl>
      <w:tblPr>
        <w:tblW w:type="auto" w:w="0"/>
        <w:jc w:val="center"/>
        <w:tblLayout w:type="fixed"/>
        <w:tblLook w:firstColumn="1" w:firstRow="1" w:lastColumn="0" w:lastRow="0" w:noHBand="0" w:noVBand="1" w:val="04A0"/>
        <w:tblLayout w:type="fixed"/>
      </w:tblPr>
      <w:tblGrid>
        <w:gridCol w:w="2608"/>
        <w:gridCol w:w="2268"/>
        <w:gridCol w:w="3628"/>
        <w:gridCol w:w="1134"/>
      </w:tblGrid>
      <w:tr>
        <w:trPr>
          <w:tblHeader w:val="true"/>
        </w:trPr>
        <w:tc>
          <w:tcPr>
            <w:tcW w:type="dxa" w:w="260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der Auditor sehen will</w:t>
            </w:r>
          </w:p>
        </w:tc>
        <w:tc>
          <w:tcPr>
            <w:tcW w:type="dxa" w:w="226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Häufigster Befund</w:t>
            </w:r>
          </w:p>
        </w:tc>
        <w:tc>
          <w:tcPr>
            <w:tcW w:type="dxa" w:w="36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Antwort der Bereichsleitung</w:t>
            </w:r>
          </w:p>
        </w:tc>
        <w:tc>
          <w:tcPr>
            <w:tcW w:type="dxa" w:w="113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Stand</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Lastenhandhabung: Zimmerzahl, Matratzen, Wagen</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Beurteilung ohne Zahlen, Wagen mit klemmenden Rollen</w:t>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Chemie im Etagenwagen: Kennzeichnung, Mischverbot, Hautschutz</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Umfüllung, kein Hautschutzplan</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Bankett: Auf- und Abbau, Stapeln, Fluchtwege unter Last</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Fluchtweg als Zwischenlager</w:t>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Veranstaltungstechnik: Einweisung, Lasten über Kopf</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Niemand hat die Firma eingewiesen</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Alleinarbeit in der Nacht: Notruf, Regelung, Erprobung</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Notruf vorhanden, nie erprobt</w:t>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Ersthelfer je Schicht, nicht je Betrieb</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Nachts kein ausgebildeter Ersthelfer im Haus</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belegt</w:t>
              <w:br/>
              <w:t>☐ Lücke</w:t>
            </w:r>
          </w:p>
        </w:tc>
      </w:tr>
    </w:tbl>
    <w:p>
      <w:r>
        <w:rPr>
          <w:rFonts w:ascii="Aptos" w:hAnsi="Aptos" w:cs="Aptos" w:eastAsia="Aptos"/>
          <w:b w:val="0"/>
          <w:i/>
          <w:color w:val="7A6A55"/>
          <w:sz w:val="17"/>
        </w:rPr>
        <w:t>Hinweis: Beim Bankett beurteilt ein Haus oft den Betrieb der Veranstaltung, nicht den nächtlichen Umbau des Saals zwischen zwei Veranstaltungen (Beispiel Kufstein, 4.6): derselbe Bereich, zwei Tätigkeiten, eine beurteilt.</w:t>
      </w:r>
    </w:p>
    <w:p>
      <w:pPr>
        <w:keepNext/>
        <w:spacing w:before="160" w:after="60"/>
      </w:pPr>
      <w:r>
        <w:rPr>
          <w:rFonts w:ascii="Aptos" w:hAnsi="Aptos" w:cs="Aptos" w:eastAsia="Aptos"/>
          <w:b/>
          <w:color w:val="8C5A2B"/>
          <w:sz w:val="23"/>
        </w:rPr>
        <w:t>Wo eine Antwort fehlt: beheben oder benennen</w:t>
      </w:r>
    </w:p>
    <w:p>
      <w:pPr>
        <w:spacing w:after="60"/>
      </w:pPr>
      <w:r>
        <w:rPr>
          <w:rFonts w:ascii="Aptos" w:hAnsi="Aptos" w:cs="Aptos" w:eastAsia="Aptos"/>
          <w:b w:val="0"/>
          <w:i w:val="0"/>
          <w:sz w:val="18"/>
        </w:rPr>
        <w:t>Eine bekannte, benannte Lücke mit Plan ist der beste Zustand vor einem Audit. In die Maßnahmenliste mit dem normalen Termin – nicht mit dem Audittermin.</w:t>
      </w:r>
    </w:p>
    <w:tbl>
      <w:tblPr>
        <w:tblW w:type="auto" w:w="0"/>
        <w:jc w:val="center"/>
        <w:tblLayout w:type="fixed"/>
        <w:tblLook w:firstColumn="1" w:firstRow="1" w:lastColumn="0" w:lastRow="0" w:noHBand="0" w:noVBand="1" w:val="04A0"/>
        <w:tblLayout w:type="fixed"/>
      </w:tblPr>
      <w:tblGrid>
        <w:gridCol w:w="3628"/>
        <w:gridCol w:w="2381"/>
        <w:gridCol w:w="1927"/>
        <w:gridCol w:w="1701"/>
      </w:tblGrid>
      <w:tr>
        <w:trPr>
          <w:tblHeader w:val="true"/>
        </w:trPr>
        <w:tc>
          <w:tcPr>
            <w:tcW w:type="dxa" w:w="36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Lücke (Zeile / Frage)</w:t>
            </w:r>
          </w:p>
        </w:tc>
        <w:tc>
          <w:tcPr>
            <w:tcW w:type="dxa" w:w="238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Beheben oder benennen?</w:t>
            </w:r>
          </w:p>
        </w:tc>
        <w:tc>
          <w:tcPr>
            <w:tcW w:type="dxa" w:w="19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Wer</w:t>
            </w:r>
          </w:p>
        </w:tc>
        <w:tc>
          <w:tcPr>
            <w:tcW w:type="dxa" w:w="170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Bis wann</w:t>
            </w:r>
          </w:p>
        </w:tc>
      </w:tr>
      <w:tr>
        <w:trPr>
          <w:cantSplit w:val="true"/>
          <w:trHeight w:val="567"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r>
        <w:trPr>
          <w:cantSplit w:val="true"/>
          <w:trHeight w:val="567" w:hRule="atLeast"/>
        </w:trPr>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r>
      <w:tr>
        <w:trPr>
          <w:cantSplit w:val="true"/>
          <w:trHeight w:val="567"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r>
        <w:trPr>
          <w:cantSplit w:val="true"/>
          <w:trHeight w:val="567" w:hRule="atLeast"/>
        </w:trPr>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r>
    </w:tbl>
    <w:p>
      <w:pPr>
        <w:keepNext/>
        <w:pageBreakBefore/>
        <w:spacing w:before="280" w:after="80"/>
        <w:pBdr>
          <w:bottom w:val="single" w:sz="6" w:space="2" w:color="C9BBA6"/>
        </w:pBdr>
      </w:pPr>
      <w:r>
        <w:rPr>
          <w:rFonts w:ascii="Aptos" w:hAnsi="Aptos" w:cs="Aptos" w:eastAsia="Aptos"/>
          <w:b/>
          <w:color w:val="8C5A2B"/>
          <w:sz w:val="28"/>
        </w:rPr>
        <w:t>D  Wellness, Pool und Technikraum</w:t>
      </w: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Bereichsleitung</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Gespräch am</w:t>
            </w:r>
          </w:p>
        </w:tc>
        <w:tc>
          <w:tcPr>
            <w:tcW w:type="dxa" w:w="3005"/>
            <w:tcBorders>
              <w:bottom w:val="single" w:sz="6" w:space="0" w:color="C9BBA6"/>
            </w:tcBorders>
          </w:tcPr>
          <w:p>
            <w:pPr>
              <w:spacing w:after="20"/>
            </w:pPr>
          </w:p>
        </w:tc>
      </w:tr>
    </w:tbl>
    <w:p>
      <w:pPr>
        <w:spacing w:after="60"/>
      </w:pPr>
    </w:p>
    <w:tbl>
      <w:tblPr>
        <w:tblW w:type="auto" w:w="0"/>
        <w:jc w:val="center"/>
        <w:tblLayout w:type="fixed"/>
        <w:tblLook w:firstColumn="1" w:firstRow="1" w:lastColumn="0" w:lastRow="0" w:noHBand="0" w:noVBand="1" w:val="04A0"/>
        <w:tblLayout w:type="fixed"/>
      </w:tblPr>
      <w:tblGrid>
        <w:gridCol w:w="2608"/>
        <w:gridCol w:w="2268"/>
        <w:gridCol w:w="3628"/>
        <w:gridCol w:w="1134"/>
      </w:tblGrid>
      <w:tr>
        <w:trPr>
          <w:tblHeader w:val="true"/>
        </w:trPr>
        <w:tc>
          <w:tcPr>
            <w:tcW w:type="dxa" w:w="260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der Auditor sehen will</w:t>
            </w:r>
          </w:p>
        </w:tc>
        <w:tc>
          <w:tcPr>
            <w:tcW w:type="dxa" w:w="226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Häufigster Befund</w:t>
            </w:r>
          </w:p>
        </w:tc>
        <w:tc>
          <w:tcPr>
            <w:tcW w:type="dxa" w:w="36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Antwort der Bereichsleitung</w:t>
            </w:r>
          </w:p>
        </w:tc>
        <w:tc>
          <w:tcPr>
            <w:tcW w:type="dxa" w:w="113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Stand</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Gefährdungsbeurteilung des Bereichs überhaupt</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Fehlt – der Bereich kam nach dem System</w:t>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Lagerung der Beckenchemie: Trennung, Lüftung, Zugang</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Chlor und Säure im selben Raum ohne Trennung</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Betriebsanweisung an der Dosieranlage</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Nicht vorhanden oder nicht am Ort</w:t>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Schutzausrüstung für den Chemiewechsel</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Vorhanden, aber nicht am Ort des Wechsels</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Legionellenprävention und wer daran arbeitet</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Als Hygienethema geführt, nicht als Gefährdung</w:t>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Wartungsfirma: Einweisung und Koordination</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Kommt seit Jahren, nie eingewiesen</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belegt</w:t>
              <w:br/>
              <w:t>☐ Lücke</w:t>
            </w:r>
          </w:p>
        </w:tc>
      </w:tr>
      <w:tr>
        <w:trPr>
          <w:cantSplit w:val="true"/>
          <w:trHeight w:val="963"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Reinigung im Nassbereich: Rutschgefahr, Alleinarbeit spät abends</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Nie auditiert</w:t>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belegt</w:t>
              <w:br/>
              <w:t>☐ Lücke</w:t>
            </w:r>
          </w:p>
        </w:tc>
      </w:tr>
    </w:tbl>
    <w:p>
      <w:r>
        <w:rPr>
          <w:rFonts w:ascii="Aptos" w:hAnsi="Aptos" w:cs="Aptos" w:eastAsia="Aptos"/>
          <w:b w:val="0"/>
          <w:i/>
          <w:color w:val="7A6A55"/>
          <w:sz w:val="17"/>
        </w:rPr>
        <w:t>Hinweis: Legionellen sind auch eine biologische Gefährdung für Beschäftigte, die an der Anlage arbeiten, Filter wechseln oder Duschen spülen. Bei Verpachtung des Bereichs entscheidet die Steuerung, nicht der Vertrag: Die Zutritte eigener Beschäftigter (Reinigung, Haustechnik, Nachtrundgang) gehören in deren Gefährdungsbeurteilung.</w:t>
      </w:r>
    </w:p>
    <w:p>
      <w:pPr>
        <w:keepNext/>
        <w:spacing w:before="160" w:after="60"/>
      </w:pPr>
      <w:r>
        <w:rPr>
          <w:rFonts w:ascii="Aptos" w:hAnsi="Aptos" w:cs="Aptos" w:eastAsia="Aptos"/>
          <w:b/>
          <w:color w:val="8C5A2B"/>
          <w:sz w:val="23"/>
        </w:rPr>
        <w:t>Wo eine Antwort fehlt: beheben oder benennen</w:t>
      </w:r>
    </w:p>
    <w:p>
      <w:pPr>
        <w:spacing w:after="60"/>
      </w:pPr>
      <w:r>
        <w:rPr>
          <w:rFonts w:ascii="Aptos" w:hAnsi="Aptos" w:cs="Aptos" w:eastAsia="Aptos"/>
          <w:b w:val="0"/>
          <w:i w:val="0"/>
          <w:sz w:val="18"/>
        </w:rPr>
        <w:t>Eine bekannte, benannte Lücke mit Plan ist der beste Zustand vor einem Audit. In die Maßnahmenliste mit dem normalen Termin – nicht mit dem Audittermin.</w:t>
      </w:r>
    </w:p>
    <w:tbl>
      <w:tblPr>
        <w:tblW w:type="auto" w:w="0"/>
        <w:jc w:val="center"/>
        <w:tblLayout w:type="fixed"/>
        <w:tblLook w:firstColumn="1" w:firstRow="1" w:lastColumn="0" w:lastRow="0" w:noHBand="0" w:noVBand="1" w:val="04A0"/>
        <w:tblLayout w:type="fixed"/>
      </w:tblPr>
      <w:tblGrid>
        <w:gridCol w:w="3628"/>
        <w:gridCol w:w="2381"/>
        <w:gridCol w:w="1927"/>
        <w:gridCol w:w="1701"/>
      </w:tblGrid>
      <w:tr>
        <w:trPr>
          <w:tblHeader w:val="true"/>
        </w:trPr>
        <w:tc>
          <w:tcPr>
            <w:tcW w:type="dxa" w:w="36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Lücke (Zeile / Frage)</w:t>
            </w:r>
          </w:p>
        </w:tc>
        <w:tc>
          <w:tcPr>
            <w:tcW w:type="dxa" w:w="238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Beheben oder benennen?</w:t>
            </w:r>
          </w:p>
        </w:tc>
        <w:tc>
          <w:tcPr>
            <w:tcW w:type="dxa" w:w="19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Wer</w:t>
            </w:r>
          </w:p>
        </w:tc>
        <w:tc>
          <w:tcPr>
            <w:tcW w:type="dxa" w:w="170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Bis wann</w:t>
            </w:r>
          </w:p>
        </w:tc>
      </w:tr>
      <w:tr>
        <w:trPr>
          <w:cantSplit w:val="true"/>
          <w:trHeight w:val="567"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r>
        <w:trPr>
          <w:cantSplit w:val="true"/>
          <w:trHeight w:val="567" w:hRule="atLeast"/>
        </w:trPr>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r>
      <w:tr>
        <w:trPr>
          <w:cantSplit w:val="true"/>
          <w:trHeight w:val="567" w:hRule="atLeast"/>
        </w:trPr>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r>
        <w:trPr>
          <w:cantSplit w:val="true"/>
          <w:trHeight w:val="567" w:hRule="atLeast"/>
        </w:trPr>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r>
    </w:tbl>
    <w:p>
      <w:pPr>
        <w:keepNext/>
        <w:pageBreakBefore/>
        <w:spacing w:before="280" w:after="80"/>
        <w:pBdr>
          <w:bottom w:val="single" w:sz="6" w:space="2" w:color="C9BBA6"/>
        </w:pBdr>
      </w:pPr>
      <w:r>
        <w:rPr>
          <w:rFonts w:ascii="Aptos" w:hAnsi="Aptos" w:cs="Aptos" w:eastAsia="Aptos"/>
          <w:b/>
          <w:color w:val="8C5A2B"/>
          <w:sz w:val="28"/>
        </w:rPr>
        <w:t>Die drei Bereiche, die im Gastgewerbe am häufigsten fehlen</w:t>
      </w:r>
    </w:p>
    <w:p>
      <w:pPr>
        <w:jc w:val="both"/>
      </w:pPr>
      <w:r>
        <w:rPr>
          <w:rFonts w:ascii="Aptos" w:hAnsi="Aptos" w:cs="Aptos" w:eastAsia="Aptos"/>
          <w:b w:val="0"/>
          <w:i w:val="0"/>
          <w:sz w:val="19"/>
        </w:rPr>
        <w:t>Es sind keine Bereiche im Sinne des Organigramms, sondern Tätigkeiten, die zwischen den Bereichen liegen. Frage an das eigene Haus: Gibt es das bei uns – und steht es in einer Zeile der vier Raster?</w:t>
      </w:r>
    </w:p>
    <w:tbl>
      <w:tblPr>
        <w:tblW w:type="auto" w:w="0"/>
        <w:jc w:val="center"/>
        <w:tblLayout w:type="fixed"/>
        <w:tblLook w:firstColumn="1" w:firstRow="1" w:lastColumn="0" w:lastRow="0" w:noHBand="0" w:noVBand="1" w:val="04A0"/>
        <w:tblLayout w:type="fixed"/>
      </w:tblPr>
      <w:tblGrid>
        <w:gridCol w:w="2041"/>
        <w:gridCol w:w="2381"/>
        <w:gridCol w:w="2494"/>
        <w:gridCol w:w="2721"/>
      </w:tblGrid>
      <w:tr>
        <w:trPr>
          <w:tblHeader w:val="true"/>
        </w:trPr>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Lücke</w:t>
            </w:r>
          </w:p>
        </w:tc>
        <w:tc>
          <w:tcPr>
            <w:tcW w:type="dxa" w:w="238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Warum sie entsteht</w:t>
            </w:r>
          </w:p>
        </w:tc>
        <w:tc>
          <w:tcPr>
            <w:tcW w:type="dxa" w:w="249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sie im Audit auslöst</w:t>
            </w:r>
          </w:p>
        </w:tc>
        <w:tc>
          <w:tcPr>
            <w:tcW w:type="dxa" w:w="272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Bei uns: Zeile / Lücke / Verantwortliche</w:t>
            </w:r>
          </w:p>
        </w:tc>
      </w:tr>
      <w:tr>
        <w:trPr>
          <w:cantSplit w:val="true"/>
          <w:trHeight w:val="1077" w:hRule="atLeast"/>
        </w:trPr>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Die Endreinigung nach Betriebsschluss</w:t>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Gehört keinem Bereich; findet statt, wenn niemand da ist</w:t>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Chemie in Konzentration, Leitern, Alleinarbeit – alles zugleich</w:t>
            </w:r>
          </w:p>
        </w:tc>
        <w:tc>
          <w:tcPr>
            <w:tcW w:type="dxa" w:w="272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1077" w:hRule="atLeast"/>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Der Nachtdienst</w:t>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Wird als Empfang geführt und ist ein anderer Arbeitsplatz</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Alleinarbeit, Notruf, Konflikt, Wechselschicht</w:t>
            </w:r>
          </w:p>
        </w:tc>
        <w:tc>
          <w:tcPr>
            <w:tcW w:type="dxa" w:w="272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1077" w:hRule="atLeast"/>
        </w:trPr>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Die Zwischenräume: Keller, Dachboden, Lagerflächen</w:t>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Kein Verantwortlicher; jeder stellt etwas hinein</w:t>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Verstellte Wege, Provisorien, unklare Zuständigkeit</w:t>
            </w:r>
          </w:p>
        </w:tc>
        <w:tc>
          <w:tcPr>
            <w:tcW w:type="dxa" w:w="272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bl>
    <w:p>
      <w:pPr>
        <w:spacing w:after="40"/>
      </w:pPr>
    </w:p>
    <w:p>
      <w:pPr>
        <w:spacing w:after="40"/>
      </w:pPr>
      <w:r>
        <w:rPr>
          <w:rFonts w:ascii="Aptos" w:hAnsi="Aptos" w:cs="Aptos" w:eastAsia="Aptos"/>
          <w:b w:val="0"/>
          <w:i w:val="0"/>
          <w:sz w:val="19"/>
        </w:rPr>
        <w:t>Ein einfacher Schritt: Das Organigramm durchgehen und fragen, welche Tätigkeiten in keiner der genannten Zeilen vorkommen. Was übrig bleibt, ist die Lücke – sie lässt sich in einer halben Stunde finden.</w:t>
      </w:r>
    </w:p>
    <w:tbl>
      <w:tblPr>
        <w:tblW w:type="auto" w:w="0"/>
        <w:jc w:val="center"/>
        <w:tblLayout w:type="fixed"/>
        <w:tblLook w:firstColumn="1" w:firstRow="1" w:lastColumn="0" w:lastRow="0" w:noHBand="0" w:noVBand="1" w:val="04A0"/>
        <w:tblLayout w:type="fixed"/>
      </w:tblPr>
      <w:tblGrid>
        <w:gridCol w:w="3515"/>
        <w:gridCol w:w="3061"/>
        <w:gridCol w:w="3061"/>
      </w:tblGrid>
      <w:tr>
        <w:trPr>
          <w:tblHeader w:val="true"/>
        </w:trPr>
        <w:tc>
          <w:tcPr>
            <w:tcW w:type="dxa" w:w="351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Tätigkeit, die in keiner Zeile vorkommt</w:t>
            </w:r>
          </w:p>
        </w:tc>
        <w:tc>
          <w:tcPr>
            <w:tcW w:type="dxa" w:w="30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Wann und von wem ausgeführt?</w:t>
            </w:r>
          </w:p>
        </w:tc>
        <w:tc>
          <w:tcPr>
            <w:tcW w:type="dxa" w:w="30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Wer nimmt sie in die Beurteilung auf?</w:t>
            </w:r>
          </w:p>
        </w:tc>
      </w:tr>
      <w:tr>
        <w:trPr>
          <w:cantSplit w:val="true"/>
          <w:trHeight w:val="567" w:hRule="atLeast"/>
        </w:trPr>
        <w:tc>
          <w:tcPr>
            <w:tcW w:type="dxa" w:w="351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r>
        <w:trPr>
          <w:cantSplit w:val="true"/>
          <w:trHeight w:val="567" w:hRule="atLeast"/>
        </w:trPr>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r>
      <w:tr>
        <w:trPr>
          <w:cantSplit w:val="true"/>
          <w:trHeight w:val="567" w:hRule="atLeast"/>
        </w:trPr>
        <w:tc>
          <w:tcPr>
            <w:tcW w:type="dxa" w:w="351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bl>
    <w:p>
      <w:pPr>
        <w:keepNext/>
        <w:pageBreakBefore w:val="0"/>
        <w:spacing w:before="280" w:after="80"/>
        <w:pBdr>
          <w:bottom w:val="single" w:sz="6" w:space="2" w:color="C9BBA6"/>
        </w:pBdr>
      </w:pPr>
      <w:r>
        <w:rPr>
          <w:rFonts w:ascii="Aptos" w:hAnsi="Aptos" w:cs="Aptos" w:eastAsia="Aptos"/>
          <w:b/>
          <w:color w:val="8C5A2B"/>
          <w:sz w:val="28"/>
        </w:rPr>
        <w:t>Der Geltungsbereich als Prüfliste</w:t>
      </w:r>
    </w:p>
    <w:p>
      <w:pPr>
        <w:jc w:val="both"/>
      </w:pPr>
      <w:r>
        <w:rPr>
          <w:rFonts w:ascii="Aptos" w:hAnsi="Aptos" w:cs="Aptos" w:eastAsia="Aptos"/>
          <w:b w:val="0"/>
          <w:i w:val="0"/>
          <w:sz w:val="19"/>
        </w:rPr>
        <w:t>Ein Wort im Geltungsbereich ist eine Verpflichtung: Was darin steht, muss abgedeckt sein (Klausel 4.3). Drucken Sie den Wortlaut aus und prüfen Sie je Tätigkeitsfeld drei Dinge. Jede Lücke ist ein Befund, der im nächsten externen Audit mit hoher Wahrscheinlichkeit gefunden wird; der Abgleich dauert zwei Stunden und gehört einmal jährlich wiederholt. Ein Anbau, eine neue Anlage oder ein neuer ausgelagerter Prozess ist eine Änderung (Klausel 8.1.3) – die Fachkraft wird vor Baubeginn und vor Inbetriebnahme beteiligt.</w:t>
      </w:r>
    </w:p>
    <w:tbl>
      <w:tblPr>
        <w:tblW w:type="auto" w:w="0"/>
        <w:jc w:val="center"/>
        <w:tblLayout w:type="fixed"/>
        <w:tblLook w:firstColumn="1" w:firstRow="1" w:lastColumn="0" w:lastRow="0" w:noHBand="0" w:noVBand="1" w:val="04A0"/>
        <w:tblLayout w:type="fixed"/>
      </w:tblPr>
      <w:tblGrid>
        <w:gridCol w:w="3175"/>
        <w:gridCol w:w="2154"/>
        <w:gridCol w:w="2041"/>
        <w:gridCol w:w="2268"/>
      </w:tblGrid>
      <w:tr>
        <w:trPr>
          <w:tblHeader w:val="true"/>
        </w:trPr>
        <w:tc>
          <w:tcPr>
            <w:tcW w:type="dxa" w:w="317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Tätigkeitsfeld im Geltungsbereich</w:t>
            </w:r>
          </w:p>
        </w:tc>
        <w:tc>
          <w:tcPr>
            <w:tcW w:type="dxa" w:w="215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Gefährdungsbeurteilung vorhanden</w:t>
            </w:r>
          </w:p>
        </w:tc>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Im Auditprogramm enthalten</w:t>
            </w:r>
          </w:p>
        </w:tc>
        <w:tc>
          <w:tcPr>
            <w:tcW w:type="dxa" w:w="226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Verantwortlicher benannt</w:t>
            </w:r>
          </w:p>
        </w:tc>
      </w:tr>
      <w:tr>
        <w:trPr>
          <w:cantSplit w:val="true"/>
          <w:trHeight w:val="510" w:hRule="atLeast"/>
        </w:trPr>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Beispiel: Wellness</w:t>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ja  ☐ nein</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ja  ☐ nein</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10" w:hRule="atLeast"/>
        </w:trPr>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ja  ☐ nein</w:t>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ja  ☐ nein</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510" w:hRule="atLeast"/>
        </w:trPr>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ja  ☐ nein</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ja  ☐ nein</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10" w:hRule="atLeast"/>
        </w:trPr>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ja  ☐ nein</w:t>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ja  ☐ nein</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510" w:hRule="atLeast"/>
        </w:trPr>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ja  ☐ nein</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ja  ☐ nein</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10" w:hRule="atLeast"/>
        </w:trPr>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ja  ☐ nein</w:t>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ja  ☐ nein</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bl>
    <w:p>
      <w:r>
        <w:rPr>
          <w:rFonts w:ascii="Aptos" w:hAnsi="Aptos" w:cs="Aptos" w:eastAsia="Aptos"/>
          <w:b w:val="0"/>
          <w:i/>
          <w:color w:val="7A6A55"/>
          <w:sz w:val="17"/>
        </w:rPr>
        <w:t>Kennzahl: Tätigkeitsfelder im Geltungsbereich ohne eigene Gefährdungsbeurteilung – Sollwert null.</w:t>
      </w:r>
    </w:p>
    <w:p>
      <w:pPr>
        <w:keepNext/>
        <w:pageBreakBefore/>
        <w:spacing w:before="280" w:after="80"/>
        <w:pBdr>
          <w:bottom w:val="single" w:sz="6" w:space="2" w:color="C9BBA6"/>
        </w:pBdr>
      </w:pPr>
      <w:r>
        <w:rPr>
          <w:rFonts w:ascii="Aptos" w:hAnsi="Aptos" w:cs="Aptos" w:eastAsia="Aptos"/>
          <w:b/>
          <w:color w:val="8C5A2B"/>
          <w:sz w:val="28"/>
        </w:rPr>
        <w:t>Der Rundgang, den man selbst machen sollte</w:t>
      </w:r>
    </w:p>
    <w:p>
      <w:pPr>
        <w:jc w:val="both"/>
      </w:pPr>
      <w:r>
        <w:rPr>
          <w:rFonts w:ascii="Aptos" w:hAnsi="Aptos" w:cs="Aptos" w:eastAsia="Aptos"/>
          <w:b w:val="0"/>
          <w:i w:val="0"/>
          <w:sz w:val="19"/>
        </w:rPr>
        <w:t>Die wirksamste Vorbereitung ist kein Dokument, sondern ein Gang durch das eigene Haus mit den Augen eines Fremden: zwei Stunden, eine Regel – man betritt jeden Raum, den man normalerweise nicht betritt. Erfahrungsgemäß sind das zwischen acht und fünfzehn Räume: der Technikraum des Pools, der Raum mit den Kältemaschinen, das Chemikalienlager, der Dachaufgang, der Keller unter der Küche, das Zwischenlager im Bankettbereich, der Raum mit den alten Möbeln, die Mülleinhausung, die Wäschekammern der Etagen, der Bereich hinter der Anlieferung.</w:t>
      </w:r>
    </w:p>
    <w:p>
      <w:pPr>
        <w:jc w:val="both"/>
      </w:pPr>
      <w:r>
        <w:rPr>
          <w:rFonts w:ascii="Aptos" w:hAnsi="Aptos" w:cs="Aptos" w:eastAsia="Aptos"/>
          <w:b w:val="0"/>
          <w:i w:val="0"/>
          <w:sz w:val="19"/>
        </w:rPr>
        <w:t>In jedem Raum drei Fragen: Wer arbeitet hier, und wie oft? Steht diese Tätigkeit in einer Gefährdungsbeurteilung? Was steht hier, das hier nicht hingehört? (Die dritte ist die ergiebigste: zugestellte Fluchtwege, Chemikalien, die niemand vermisst hat.)</w:t>
      </w: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Gegangen am</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Gegangen von (und frischer Blick)</w:t>
            </w:r>
          </w:p>
        </w:tc>
        <w:tc>
          <w:tcPr>
            <w:tcW w:type="dxa" w:w="3005"/>
            <w:tcBorders>
              <w:bottom w:val="single" w:sz="6" w:space="0" w:color="C9BBA6"/>
            </w:tcBorders>
          </w:tcPr>
          <w:p>
            <w:pPr>
              <w:spacing w:after="20"/>
            </w:pPr>
          </w:p>
        </w:tc>
      </w:tr>
    </w:tbl>
    <w:p>
      <w:pPr>
        <w:spacing w:after="60"/>
      </w:pPr>
    </w:p>
    <w:tbl>
      <w:tblPr>
        <w:tblW w:type="auto" w:w="0"/>
        <w:jc w:val="center"/>
        <w:tblLayout w:type="fixed"/>
        <w:tblLook w:firstColumn="1" w:firstRow="1" w:lastColumn="0" w:lastRow="0" w:noHBand="0" w:noVBand="1" w:val="04A0"/>
        <w:tblLayout w:type="fixed"/>
      </w:tblPr>
      <w:tblGrid>
        <w:gridCol w:w="2154"/>
        <w:gridCol w:w="2608"/>
        <w:gridCol w:w="1474"/>
        <w:gridCol w:w="3402"/>
      </w:tblGrid>
      <w:tr>
        <w:trPr>
          <w:tblHeader w:val="true"/>
        </w:trPr>
        <w:tc>
          <w:tcPr>
            <w:tcW w:type="dxa" w:w="215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Raum</w:t>
            </w:r>
          </w:p>
        </w:tc>
        <w:tc>
          <w:tcPr>
            <w:tcW w:type="dxa" w:w="260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Wer arbeitet hier, wie oft?</w:t>
            </w:r>
          </w:p>
        </w:tc>
        <w:tc>
          <w:tcPr>
            <w:tcW w:type="dxa" w:w="147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In einer Beurteilung?</w:t>
            </w:r>
          </w:p>
        </w:tc>
        <w:tc>
          <w:tcPr>
            <w:tcW w:type="dxa" w:w="340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Was steht hier, das nicht hierhin gehört?</w:t>
            </w:r>
          </w:p>
        </w:tc>
      </w:tr>
      <w:tr>
        <w:trPr>
          <w:cantSplit w:val="true"/>
          <w:trHeight w:val="652" w:hRule="atLeast"/>
        </w:trPr>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r>
        <w:trPr>
          <w:cantSplit w:val="true"/>
          <w:trHeight w:val="652" w:hRule="atLeast"/>
        </w:trPr>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47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r>
      <w:tr>
        <w:trPr>
          <w:cantSplit w:val="true"/>
          <w:trHeight w:val="652" w:hRule="atLeast"/>
        </w:trPr>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r>
        <w:trPr>
          <w:cantSplit w:val="true"/>
          <w:trHeight w:val="652" w:hRule="atLeast"/>
        </w:trPr>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47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r>
      <w:tr>
        <w:trPr>
          <w:cantSplit w:val="true"/>
          <w:trHeight w:val="652" w:hRule="atLeast"/>
        </w:trPr>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r>
        <w:trPr>
          <w:cantSplit w:val="true"/>
          <w:trHeight w:val="652" w:hRule="atLeast"/>
        </w:trPr>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47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r>
      <w:tr>
        <w:trPr>
          <w:cantSplit w:val="true"/>
          <w:trHeight w:val="652" w:hRule="atLeast"/>
        </w:trPr>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r>
        <w:trPr>
          <w:cantSplit w:val="true"/>
          <w:trHeight w:val="652" w:hRule="atLeast"/>
        </w:trPr>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47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r>
      <w:tr>
        <w:trPr>
          <w:cantSplit w:val="true"/>
          <w:trHeight w:val="652" w:hRule="atLeast"/>
        </w:trPr>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r>
        <w:trPr>
          <w:cantSplit w:val="true"/>
          <w:trHeight w:val="652" w:hRule="atLeast"/>
        </w:trPr>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147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r>
          </w:p>
        </w:tc>
      </w:tr>
      <w:tr>
        <w:trPr>
          <w:cantSplit w:val="true"/>
          <w:trHeight w:val="652" w:hRule="atLeast"/>
        </w:trPr>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bl>
    <w:p>
      <w:r>
        <w:rPr>
          <w:rFonts w:ascii="Aptos" w:hAnsi="Aptos" w:cs="Aptos" w:eastAsia="Aptos"/>
          <w:b w:val="0"/>
          <w:i/>
          <w:color w:val="7A6A55"/>
          <w:sz w:val="17"/>
        </w:rPr>
        <w:t>Am Ende steht eine Liste: jede Feststellung in die Maßnahmenliste. Häuser, die den Rundgang einmal jährlich machen, berichten, dass die Zahl der Befunde beim zweiten Mal deutlich sinkt.</w:t>
      </w:r>
    </w:p>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9"/>
        </w:rPr>
        <w:t>Diese Vorlage ersetzt weder die Norm noch eine Rechtsberatung, kein Audit und keine Gefährdungsbeurteilung des konkreten Hauses; sie nimmt dem Urteil der Zertifizierungsstelle nichts vorweg. Die Raster nennen, was ein externer Auditor erfahrungsgemäß sehen will und wo Häuser des Gastgewerbes häufig Befunde haben – sie sind keine vollständige Liste der Anforderungen. Bereichsspezifische Vorschriften der drei Länder gehören ins Rechtsverzeichnis des Hauses; verbindlich ist die jeweils gültige Fassung von Gesetz und Norm.</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3b · ISO 45001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