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ptos" w:hAnsi="Aptos" w:cs="Aptos" w:eastAsia="Aptos"/>
          <w:b/>
          <w:color w:val="7A6A55"/>
          <w:sz w:val="17"/>
        </w:rPr>
        <w:t>VORLAGE ZU ABSCHNITT 4.7 DES BANDES 3B</w:t>
      </w:r>
    </w:p>
    <w:p>
      <w:pPr>
        <w:spacing w:after="60"/>
        <w:pBdr>
          <w:bottom w:val="single" w:sz="8" w:space="4" w:color="C9BBA6"/>
        </w:pBdr>
      </w:pPr>
      <w:r>
        <w:rPr>
          <w:rFonts w:ascii="Aptos" w:hAnsi="Aptos" w:cs="Aptos" w:eastAsia="Aptos"/>
          <w:b/>
          <w:color w:val="8C5A2B"/>
          <w:sz w:val="42"/>
        </w:rPr>
        <w:t>Auditbegleitung und Antwortmuster</w:t>
      </w:r>
    </w:p>
    <w:p>
      <w:pPr>
        <w:spacing w:before="80" w:after="200"/>
      </w:pPr>
      <w:r>
        <w:rPr>
          <w:rFonts w:ascii="Aptos" w:hAnsi="Aptos" w:cs="Aptos" w:eastAsia="Aptos"/>
          <w:i/>
          <w:color w:val="7A6A55"/>
          <w:sz w:val="21"/>
        </w:rPr>
        <w:t>Sachverhalt sofort, Bewertung sachlich: drei Regeln, die Begleitung mit Mitschrift und fünf Minuten je Bereich</w:t>
      </w:r>
    </w:p>
    <w:p>
      <w:pPr>
        <w:spacing w:after="120"/>
      </w:pPr>
      <w:r>
        <w:rPr>
          <w:rFonts w:ascii="Aptos" w:hAnsi="Aptos" w:cs="Aptos" w:eastAsia="Aptos"/>
          <w:b w:val="0"/>
          <w:i/>
          <w:color w:val="7A6A55"/>
          <w:sz w:val="19"/>
        </w:rPr>
        <w:t>Bezug im Buch: Abschnitt 4.7 (Der Umgang mit dem Lead Auditor); ergänzend Abschnitt 4.5 (Stage-2-Audit, Abschlussgespräch) und 4.2 (Beschwerde- und Einspruchsverfahren der Stelle).</w:t>
      </w:r>
    </w:p>
    <w:tbl>
      <w:tblPr>
        <w:tblW w:type="auto" w:w="0"/>
        <w:jc w:val="center"/>
        <w:tblLook w:firstColumn="1" w:firstRow="1" w:lastColumn="0" w:lastRow="0" w:noHBand="0" w:noVBand="1" w:val="04A0"/>
      </w:tblPr>
      <w:tblGrid>
        <w:gridCol w:w="9638"/>
      </w:tblGrid>
      <w:tr>
        <w:tc>
          <w:tcPr>
            <w:tcW w:type="dxa" w:w="9638"/>
            <w:shd w:val="clear" w:color="auto" w:fill="EFE7DC"/>
            <w:tcBorders>
              <w:left w:val="single" w:sz="24" w:space="0" w:color="8C5A2B"/>
            </w:tcBorders>
          </w:tcPr>
          <w:p>
            <w:pPr>
              <w:spacing w:after="40"/>
            </w:pPr>
            <w:r>
              <w:rPr>
                <w:rFonts w:ascii="Aptos" w:hAnsi="Aptos" w:cs="Aptos" w:eastAsia="Aptos"/>
                <w:b/>
                <w:i w:val="0"/>
                <w:color w:val="8C5A2B"/>
                <w:sz w:val="21"/>
              </w:rPr>
              <w:t>So nutzen Sie diese Vorlage</w:t>
            </w:r>
          </w:p>
          <w:p>
            <w:pPr>
              <w:spacing w:after="40"/>
            </w:pPr>
            <w:r>
              <w:rPr>
                <w:rFonts w:ascii="Aptos" w:hAnsi="Aptos" w:cs="Aptos" w:eastAsia="Aptos"/>
                <w:b w:val="0"/>
                <w:i w:val="0"/>
                <w:sz w:val="20"/>
              </w:rPr>
              <w:t>1.  Die drei Regeln lassen sich vor jedem Audit in fünf Minuten vermitteln. Dieses Blatt ist das Denkgerüst dafür, kein Drehbuch: keine vorgegebenen Antworten, nur die Erlaubnis zu widersprechen und die Bitte, nicht zu verhandeln.</w:t>
              <w:br/>
              <w:t>2.  Die Mitschrift (Abschnitt 5) füllen Sie während des Audits aus, in der Hand der benannten Person. Sie ist die Grundlage des Abschlussgesprächs – ohne sie fehlt dem Haus dort, woran es sich erinnern müsste.</w:t>
              <w:br/>
              <w:t>3.  Sprache, Vertretung der Beschäftigten, Fotos und Personalunterlagen klären Sie vor dem Audit (Abschnitt 6), nicht während.</w:t>
            </w:r>
          </w:p>
        </w:tc>
      </w:tr>
    </w:tbl>
    <w:p>
      <w:pPr>
        <w:spacing w:after="40"/>
      </w:pPr>
    </w:p>
    <w:p>
      <w:pPr>
        <w:keepNext/>
        <w:pageBreakBefore w:val="0"/>
        <w:spacing w:before="280" w:after="80"/>
        <w:pBdr>
          <w:bottom w:val="single" w:sz="6" w:space="2" w:color="C9BBA6"/>
        </w:pBdr>
      </w:pPr>
      <w:r>
        <w:rPr>
          <w:rFonts w:ascii="Aptos" w:hAnsi="Aptos" w:cs="Aptos" w:eastAsia="Aptos"/>
          <w:b/>
          <w:color w:val="8C5A2B"/>
          <w:sz w:val="28"/>
        </w:rPr>
        <w:t>1  Die drei Regeln – und die vierte</w:t>
      </w:r>
    </w:p>
    <w:tbl>
      <w:tblPr>
        <w:tblW w:type="auto" w:w="0"/>
        <w:jc w:val="center"/>
        <w:tblLayout w:type="fixed"/>
        <w:tblLook w:firstColumn="1" w:firstRow="1" w:lastColumn="0" w:lastRow="0" w:noHBand="0" w:noVBand="1" w:val="04A0"/>
        <w:tblLayout w:type="fixed"/>
      </w:tblPr>
      <w:tblGrid>
        <w:gridCol w:w="2211"/>
        <w:gridCol w:w="5386"/>
        <w:gridCol w:w="2041"/>
      </w:tblGrid>
      <w:tr>
        <w:trPr>
          <w:tblHeader w:val="true"/>
        </w:trPr>
        <w:tc>
          <w:tcPr>
            <w:tcW w:type="dxa" w:w="221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Regel</w:t>
            </w:r>
          </w:p>
        </w:tc>
        <w:tc>
          <w:tcPr>
            <w:tcW w:type="dxa" w:w="5386"/>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Was sie heißt</w:t>
            </w:r>
          </w:p>
        </w:tc>
        <w:tc>
          <w:tcPr>
            <w:tcW w:type="dxa" w:w="204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Wer vermittelt sie, bis wann?</w:t>
            </w:r>
          </w:p>
        </w:tc>
      </w:tr>
      <w:tr>
        <w:trPr>
          <w:cantSplit w:val="true"/>
          <w:trHeight w:val="850" w:hRule="atLeast"/>
        </w:trPr>
        <w:tc>
          <w:tcPr>
            <w:tcW w:type="dxa" w:w="221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8"/>
              </w:rPr>
              <w:t>1  Sachverhalt sofort, Bewertung sachlich</w:t>
            </w:r>
          </w:p>
        </w:tc>
        <w:tc>
          <w:tcPr>
            <w:tcW w:type="dxa" w:w="5386"/>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Wer weiß, dass etwas anders ist, als der Auditor es beschreibt, sagt es im selben Moment: sachlich, kurz, mit dem Angebot, es zu zeigen. Wer die Bewertung für falsch hält, spricht abweichende Auffassungen sachlich an und nutzt für einen förmlichen Einspruch den dafür vorgesehenen Weg.</w:t>
            </w:r>
          </w:p>
        </w:tc>
        <w:tc>
          <w:tcPr>
            <w:tcW w:type="dxa" w:w="204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r>
      <w:tr>
        <w:trPr>
          <w:cantSplit w:val="true"/>
          <w:trHeight w:val="850" w:hRule="atLeast"/>
        </w:trPr>
        <w:tc>
          <w:tcPr>
            <w:tcW w:type="dxa" w:w="221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8"/>
              </w:rPr>
              <w:t>2  Eine Stimme je Bereich</w:t>
            </w:r>
          </w:p>
        </w:tc>
        <w:tc>
          <w:tcPr>
            <w:tcW w:type="dxa" w:w="5386"/>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Im Bereich antwortet, wer dort arbeitet. Die Fachkraft ergänzt, wenn sie gefragt wird, und nicht vorher. Die Direktion antwortet zu Führung, Ressourcen und Zielen – nicht zur Chemiedosierung.</w:t>
            </w:r>
          </w:p>
        </w:tc>
        <w:tc>
          <w:tcPr>
            <w:tcW w:type="dxa" w:w="204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r>
      <w:tr>
        <w:trPr>
          <w:cantSplit w:val="true"/>
          <w:trHeight w:val="850" w:hRule="atLeast"/>
        </w:trPr>
        <w:tc>
          <w:tcPr>
            <w:tcW w:type="dxa" w:w="221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8"/>
              </w:rPr>
              <w:t>3  Alles mitschreiben</w:t>
            </w:r>
          </w:p>
        </w:tc>
        <w:tc>
          <w:tcPr>
            <w:tcW w:type="dxa" w:w="5386"/>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Eine Person begleitet und notiert jede genannte Feststellung, jede verlangte Unterlage und jede Zusage.</w:t>
            </w:r>
          </w:p>
        </w:tc>
        <w:tc>
          <w:tcPr>
            <w:tcW w:type="dxa" w:w="204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r>
      <w:tr>
        <w:trPr>
          <w:cantSplit w:val="true"/>
          <w:trHeight w:val="850" w:hRule="atLeast"/>
        </w:trPr>
        <w:tc>
          <w:tcPr>
            <w:tcW w:type="dxa" w:w="221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8"/>
              </w:rPr>
              <w:t>4  Nicht für Abwesende antworten</w:t>
            </w:r>
          </w:p>
        </w:tc>
        <w:tc>
          <w:tcPr>
            <w:tcW w:type="dxa" w:w="5386"/>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„Der Kollege hätte gesagt …“ ist keine Auskunft, sondern eine Vermutung. Entweder die Person holen oder ehrlich sagen, dass man es nicht weiß.</w:t>
            </w:r>
          </w:p>
        </w:tc>
        <w:tc>
          <w:tcPr>
            <w:tcW w:type="dxa" w:w="204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r>
    </w:tbl>
    <w:p>
      <w:pPr>
        <w:spacing w:after="60"/>
      </w:pPr>
    </w:p>
    <w:tbl>
      <w:tblPr>
        <w:tblW w:type="auto" w:w="0"/>
        <w:jc w:val="center"/>
        <w:tblLook w:firstColumn="1" w:firstRow="1" w:lastColumn="0" w:lastRow="0" w:noHBand="0" w:noVBand="1" w:val="04A0"/>
      </w:tblPr>
      <w:tblGrid>
        <w:gridCol w:w="9638"/>
      </w:tblGrid>
      <w:tr>
        <w:tc>
          <w:tcPr>
            <w:tcW w:type="dxa" w:w="9638"/>
            <w:shd w:val="clear" w:color="auto" w:fill="EFE7DC"/>
            <w:tcBorders>
              <w:left w:val="single" w:sz="24" w:space="0" w:color="8C5A2B"/>
            </w:tcBorders>
          </w:tcPr>
          <w:p>
            <w:pPr>
              <w:spacing w:after="40"/>
            </w:pPr>
            <w:r>
              <w:rPr>
                <w:rFonts w:ascii="Aptos" w:hAnsi="Aptos" w:cs="Aptos" w:eastAsia="Aptos"/>
                <w:b/>
                <w:i w:val="0"/>
                <w:color w:val="8C5A2B"/>
                <w:sz w:val="21"/>
              </w:rPr>
              <w:t>Die Anweisung an das Team</w:t>
            </w:r>
          </w:p>
          <w:p>
            <w:pPr>
              <w:spacing w:after="40"/>
            </w:pPr>
            <w:r>
              <w:rPr>
                <w:rFonts w:ascii="Aptos" w:hAnsi="Aptos" w:cs="Aptos" w:eastAsia="Aptos"/>
                <w:b w:val="0"/>
                <w:i w:val="0"/>
                <w:sz w:val="20"/>
              </w:rPr>
              <w:t>„Sachverhalte stellen wir sofort richtig. Über Bewertungen diskutieren wir nicht.“  –  Dieser Satz ersetzt ein „Wir diskutieren nicht mit dem Auditor“. Er wird im Eröffnungsgespräch wiederholt, damit auch der Auditor ihn hört.</w:t>
            </w:r>
          </w:p>
        </w:tc>
      </w:tr>
    </w:tbl>
    <w:p>
      <w:pPr>
        <w:spacing w:after="40"/>
      </w:pPr>
    </w:p>
    <w:p>
      <w:pPr>
        <w:spacing w:after="60"/>
        <w:ind w:left="454" w:hanging="340"/>
      </w:pPr>
      <w:r>
        <w:rPr>
          <w:rFonts w:ascii="Aptos" w:hAnsi="Aptos" w:cs="Aptos" w:eastAsia="Aptos"/>
          <w:b/>
          <w:i w:val="0"/>
          <w:color w:val="8C5A2B"/>
          <w:sz w:val="21"/>
        </w:rPr>
        <w:t xml:space="preserve">☐  </w:t>
      </w:r>
      <w:r>
        <w:rPr>
          <w:rFonts w:ascii="Aptos" w:hAnsi="Aptos" w:cs="Aptos" w:eastAsia="Aptos"/>
          <w:b w:val="0"/>
          <w:i w:val="0"/>
          <w:sz w:val="19"/>
        </w:rPr>
        <w:t>Unsere bisherige Anweisung an das Team geprüft: Enthält sie ein Diskussionsverbot? Dann ersetzen.</w:t>
      </w:r>
    </w:p>
    <w:p>
      <w:pPr>
        <w:spacing w:after="40"/>
      </w:pPr>
    </w:p>
    <w:p>
      <w:r>
        <w:br w:type="page"/>
      </w:r>
    </w:p>
    <w:p>
      <w:pPr>
        <w:keepNext/>
        <w:spacing w:before="160" w:after="60"/>
      </w:pPr>
      <w:r>
        <w:rPr>
          <w:rFonts w:ascii="Aptos" w:hAnsi="Aptos" w:cs="Aptos" w:eastAsia="Aptos"/>
          <w:b/>
          <w:color w:val="8C5A2B"/>
          <w:sz w:val="23"/>
        </w:rPr>
        <w:t>Sachverhalt oder Bewertung?</w:t>
      </w:r>
    </w:p>
    <w:p>
      <w:pPr>
        <w:jc w:val="both"/>
      </w:pPr>
      <w:r>
        <w:rPr>
          <w:rFonts w:ascii="Aptos" w:hAnsi="Aptos" w:cs="Aptos" w:eastAsia="Aptos"/>
          <w:b w:val="0"/>
          <w:i w:val="0"/>
          <w:sz w:val="19"/>
        </w:rPr>
        <w:t>Der Sachverhalt gehört dem Haus – es weiß, was wo hängt und wer wann unterwiesen wurde. Die Bewertung gehört dem Auditor; sie folgt Regeln, an die er gebunden ist. Richtigstellen heißt nicht widerlegen: der Ton des Anbietens („darf ich Ihnen zeigen, wo sie hängt?“).</w:t>
      </w:r>
    </w:p>
    <w:tbl>
      <w:tblPr>
        <w:tblW w:type="auto" w:w="0"/>
        <w:jc w:val="center"/>
        <w:tblLayout w:type="fixed"/>
        <w:tblLook w:firstColumn="1" w:firstRow="1" w:lastColumn="0" w:lastRow="0" w:noHBand="0" w:noVBand="1" w:val="04A0"/>
        <w:tblLayout w:type="fixed"/>
      </w:tblPr>
      <w:tblGrid>
        <w:gridCol w:w="4819"/>
        <w:gridCol w:w="4819"/>
      </w:tblGrid>
      <w:tr>
        <w:trPr>
          <w:tblHeader w:val="true"/>
        </w:trPr>
        <w:tc>
          <w:tcPr>
            <w:tcW w:type="dxa" w:w="4819"/>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Was man sofort richtigstellt</w:t>
            </w:r>
          </w:p>
        </w:tc>
        <w:tc>
          <w:tcPr>
            <w:tcW w:type="dxa" w:w="4819"/>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Worüber man nicht verhandelt</w:t>
            </w:r>
          </w:p>
        </w:tc>
      </w:tr>
      <w:tr>
        <w:trPr>
          <w:cantSplit w:val="true"/>
          <w:trHeight w:val="453" w:hRule="atLeast"/>
        </w:trPr>
        <w:tc>
          <w:tcPr>
            <w:tcW w:type="dxa" w:w="481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Die Unterlage existiert und liegt woanders</w:t>
            </w:r>
          </w:p>
        </w:tc>
        <w:tc>
          <w:tcPr>
            <w:tcW w:type="dxa" w:w="481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Ob der Sachverhalt eine Abweichung ist</w:t>
            </w:r>
          </w:p>
        </w:tc>
      </w:tr>
      <w:tr>
        <w:trPr>
          <w:cantSplit w:val="true"/>
          <w:trHeight w:val="453" w:hRule="atLeast"/>
        </w:trPr>
        <w:tc>
          <w:tcPr>
            <w:tcW w:type="dxa" w:w="4819"/>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Der Auditor hat eine veraltete Fassung gesehen</w:t>
            </w:r>
          </w:p>
        </w:tc>
        <w:tc>
          <w:tcPr>
            <w:tcW w:type="dxa" w:w="4819"/>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Ob sie geringfügig oder schwerwiegend ist</w:t>
            </w:r>
          </w:p>
        </w:tc>
      </w:tr>
      <w:tr>
        <w:trPr>
          <w:cantSplit w:val="true"/>
          <w:trHeight w:val="453" w:hRule="atLeast"/>
        </w:trPr>
        <w:tc>
          <w:tcPr>
            <w:tcW w:type="dxa" w:w="481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Die befragte Person ist für diesen Bereich nicht zuständig</w:t>
            </w:r>
          </w:p>
        </w:tc>
        <w:tc>
          <w:tcPr>
            <w:tcW w:type="dxa" w:w="481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Welche Klausel betroffen ist</w:t>
            </w:r>
          </w:p>
        </w:tc>
      </w:tr>
      <w:tr>
        <w:trPr>
          <w:cantSplit w:val="true"/>
          <w:trHeight w:val="453" w:hRule="atLeast"/>
        </w:trPr>
        <w:tc>
          <w:tcPr>
            <w:tcW w:type="dxa" w:w="4819"/>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Das Gerät ist außer Betrieb und abgemeldet</w:t>
            </w:r>
          </w:p>
        </w:tc>
        <w:tc>
          <w:tcPr>
            <w:tcW w:type="dxa" w:w="4819"/>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Ob die Feststellung überhaupt aufgenommen wird</w:t>
            </w:r>
          </w:p>
        </w:tc>
      </w:tr>
      <w:tr>
        <w:trPr>
          <w:cantSplit w:val="true"/>
          <w:trHeight w:val="453" w:hRule="atLeast"/>
        </w:trPr>
        <w:tc>
          <w:tcPr>
            <w:tcW w:type="dxa" w:w="481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Der Vorgang wurde bereits gemeldet und ist in Bearbeitung</w:t>
            </w:r>
          </w:p>
        </w:tc>
        <w:tc>
          <w:tcPr>
            <w:tcW w:type="dxa" w:w="481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Wie viel Zeit man zur Behebung bekommt</w:t>
            </w:r>
          </w:p>
        </w:tc>
      </w:tr>
      <w:tr>
        <w:trPr>
          <w:cantSplit w:val="true"/>
          <w:trHeight w:val="453" w:hRule="atLeast"/>
        </w:trPr>
        <w:tc>
          <w:tcPr>
            <w:tcW w:type="dxa" w:w="4819"/>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Ein Zahlenwert im Bericht ist falsch übernommen</w:t>
            </w:r>
          </w:p>
        </w:tc>
        <w:tc>
          <w:tcPr>
            <w:tcW w:type="dxa" w:w="4819"/>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Die Formulierung, wenn sie sachlich zutrifft</w:t>
            </w:r>
          </w:p>
        </w:tc>
      </w:tr>
    </w:tbl>
    <w:p>
      <w:pPr>
        <w:spacing w:after="60"/>
      </w:pPr>
    </w:p>
    <w:p>
      <w:pPr>
        <w:spacing w:after="60"/>
        <w:jc w:val="both"/>
      </w:pPr>
      <w:r>
        <w:rPr>
          <w:rFonts w:ascii="Aptos" w:hAnsi="Aptos" w:cs="Aptos" w:eastAsia="Aptos"/>
          <w:b w:val="0"/>
          <w:i w:val="0"/>
          <w:sz w:val="19"/>
        </w:rPr>
        <w:t>Förmlicher Einspruch: über das veröffentlichte Verfahren der Stelle, schriftlich, nach dem Audit. Er hat nur Aussicht, wenn der Sachverhalt schon im Audit angesprochen und dokumentiert wurde – deshalb ist die erste Regel die wichtigste. Beschwerden und Einsprüche dürfen dem Kunden nicht zum Nachteil gereichen.</w:t>
      </w:r>
    </w:p>
    <w:p>
      <w:pPr>
        <w:spacing w:after="60"/>
        <w:ind w:left="454" w:hanging="340"/>
      </w:pPr>
      <w:r>
        <w:rPr>
          <w:rFonts w:ascii="Aptos" w:hAnsi="Aptos" w:cs="Aptos" w:eastAsia="Aptos"/>
          <w:b/>
          <w:i w:val="0"/>
          <w:color w:val="8C5A2B"/>
          <w:sz w:val="21"/>
        </w:rPr>
        <w:t xml:space="preserve">☐  </w:t>
      </w:r>
      <w:r>
        <w:rPr>
          <w:rFonts w:ascii="Aptos" w:hAnsi="Aptos" w:cs="Aptos" w:eastAsia="Aptos"/>
          <w:b w:val="0"/>
          <w:i w:val="0"/>
          <w:sz w:val="19"/>
        </w:rPr>
        <w:t>Das Beschwerde- und Einspruchsverfahren unserer Stelle ist ausgedruckt und liegt im Auditordner (nicht um es zu nutzen, sondern damit im Moment einer als unangemessen empfundenen Einstufung niemand improvisiert).  Fundstelle: ____________________</w:t>
      </w:r>
    </w:p>
    <w:p>
      <w:pPr>
        <w:keepNext/>
        <w:pageBreakBefore w:val="0"/>
        <w:spacing w:before="280" w:after="80"/>
        <w:pBdr>
          <w:bottom w:val="single" w:sz="6" w:space="2" w:color="C9BBA6"/>
        </w:pBdr>
      </w:pPr>
      <w:r>
        <w:rPr>
          <w:rFonts w:ascii="Aptos" w:hAnsi="Aptos" w:cs="Aptos" w:eastAsia="Aptos"/>
          <w:b/>
          <w:color w:val="8C5A2B"/>
          <w:sz w:val="28"/>
        </w:rPr>
        <w:t>2  Wer spricht wann</w:t>
      </w:r>
    </w:p>
    <w:tbl>
      <w:tblPr>
        <w:tblW w:type="auto" w:w="0"/>
        <w:jc w:val="center"/>
        <w:tblLayout w:type="fixed"/>
        <w:tblLook w:firstColumn="1" w:firstRow="1" w:lastColumn="0" w:lastRow="0" w:noHBand="0" w:noVBand="1" w:val="04A0"/>
        <w:tblLayout w:type="fixed"/>
      </w:tblPr>
      <w:tblGrid>
        <w:gridCol w:w="3402"/>
        <w:gridCol w:w="2154"/>
        <w:gridCol w:w="2041"/>
        <w:gridCol w:w="2041"/>
      </w:tblGrid>
      <w:tr>
        <w:trPr>
          <w:tblHeader w:val="true"/>
        </w:trPr>
        <w:tc>
          <w:tcPr>
            <w:tcW w:type="dxa" w:w="3402"/>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Thema</w:t>
            </w:r>
          </w:p>
        </w:tc>
        <w:tc>
          <w:tcPr>
            <w:tcW w:type="dxa" w:w="2154"/>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Wer antwortet</w:t>
            </w:r>
          </w:p>
        </w:tc>
        <w:tc>
          <w:tcPr>
            <w:tcW w:type="dxa" w:w="204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Wer nicht</w:t>
            </w:r>
          </w:p>
        </w:tc>
        <w:tc>
          <w:tcPr>
            <w:tcW w:type="dxa" w:w="204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Name im Haus</w:t>
            </w:r>
          </w:p>
        </w:tc>
      </w:tr>
      <w:tr>
        <w:trPr>
          <w:cantSplit w:val="true"/>
          <w:trHeight w:val="510" w:hRule="atLeast"/>
        </w:trPr>
        <w:tc>
          <w:tcPr>
            <w:tcW w:type="dxa" w:w="3402"/>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Politik, Ziele, Ressourcen, Managementbewertung</w:t>
            </w:r>
          </w:p>
        </w:tc>
        <w:tc>
          <w:tcPr>
            <w:tcW w:type="dxa" w:w="215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Direktion</w:t>
            </w:r>
          </w:p>
        </w:tc>
        <w:tc>
          <w:tcPr>
            <w:tcW w:type="dxa" w:w="204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Die Fachkraft an ihrer Stelle</w:t>
            </w:r>
          </w:p>
        </w:tc>
        <w:tc>
          <w:tcPr>
            <w:tcW w:type="dxa" w:w="204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r>
      <w:tr>
        <w:trPr>
          <w:cantSplit w:val="true"/>
          <w:trHeight w:val="510" w:hRule="atLeast"/>
        </w:trPr>
        <w:tc>
          <w:tcPr>
            <w:tcW w:type="dxa" w:w="3402"/>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Verfahren, Beurteilungen, Rechtsverzeichnis</w:t>
            </w:r>
          </w:p>
        </w:tc>
        <w:tc>
          <w:tcPr>
            <w:tcW w:type="dxa" w:w="215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Sicherheitsfachkraft</w:t>
            </w:r>
          </w:p>
        </w:tc>
        <w:tc>
          <w:tcPr>
            <w:tcW w:type="dxa" w:w="204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Die Bereichsleitung</w:t>
            </w:r>
          </w:p>
        </w:tc>
        <w:tc>
          <w:tcPr>
            <w:tcW w:type="dxa" w:w="204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r>
      <w:tr>
        <w:trPr>
          <w:cantSplit w:val="true"/>
          <w:trHeight w:val="510" w:hRule="atLeast"/>
        </w:trPr>
        <w:tc>
          <w:tcPr>
            <w:tcW w:type="dxa" w:w="3402"/>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Auditprogramm, Berichte, Wirksamkeitsprüfungen</w:t>
            </w:r>
          </w:p>
        </w:tc>
        <w:tc>
          <w:tcPr>
            <w:tcW w:type="dxa" w:w="215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Interner Auditor</w:t>
            </w:r>
          </w:p>
        </w:tc>
        <w:tc>
          <w:tcPr>
            <w:tcW w:type="dxa" w:w="204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Die Fachkraft</w:t>
            </w:r>
          </w:p>
        </w:tc>
        <w:tc>
          <w:tcPr>
            <w:tcW w:type="dxa" w:w="204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r>
      <w:tr>
        <w:trPr>
          <w:cantSplit w:val="true"/>
          <w:trHeight w:val="510" w:hRule="atLeast"/>
        </w:trPr>
        <w:tc>
          <w:tcPr>
            <w:tcW w:type="dxa" w:w="3402"/>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Gefährdungen und Abläufe im Bereich</w:t>
            </w:r>
          </w:p>
        </w:tc>
        <w:tc>
          <w:tcPr>
            <w:tcW w:type="dxa" w:w="215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Bereichsleitung</w:t>
            </w:r>
          </w:p>
        </w:tc>
        <w:tc>
          <w:tcPr>
            <w:tcW w:type="dxa" w:w="204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Die Fachkraft</w:t>
            </w:r>
          </w:p>
        </w:tc>
        <w:tc>
          <w:tcPr>
            <w:tcW w:type="dxa" w:w="204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r>
      <w:tr>
        <w:trPr>
          <w:cantSplit w:val="true"/>
          <w:trHeight w:val="510" w:hRule="atLeast"/>
        </w:trPr>
        <w:tc>
          <w:tcPr>
            <w:tcW w:type="dxa" w:w="3402"/>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Die eigene Tätigkeit</w:t>
            </w:r>
          </w:p>
        </w:tc>
        <w:tc>
          <w:tcPr>
            <w:tcW w:type="dxa" w:w="215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Die ausführende Person</w:t>
            </w:r>
          </w:p>
        </w:tc>
        <w:tc>
          <w:tcPr>
            <w:tcW w:type="dxa" w:w="204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Die Bereichsleitung</w:t>
            </w:r>
          </w:p>
        </w:tc>
        <w:tc>
          <w:tcPr>
            <w:tcW w:type="dxa" w:w="204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r>
      <w:tr>
        <w:trPr>
          <w:cantSplit w:val="true"/>
          <w:trHeight w:val="510" w:hRule="atLeast"/>
        </w:trPr>
        <w:tc>
          <w:tcPr>
            <w:tcW w:type="dxa" w:w="3402"/>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Fremdfirmen und Beschaffung</w:t>
            </w:r>
          </w:p>
        </w:tc>
        <w:tc>
          <w:tcPr>
            <w:tcW w:type="dxa" w:w="215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Koordinator und Einkauf</w:t>
            </w:r>
          </w:p>
        </w:tc>
        <w:tc>
          <w:tcPr>
            <w:tcW w:type="dxa" w:w="204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Die Direktion pauschal</w:t>
            </w:r>
          </w:p>
        </w:tc>
        <w:tc>
          <w:tcPr>
            <w:tcW w:type="dxa" w:w="204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r>
    </w:tbl>
    <w:p>
      <w:pPr>
        <w:keepNext/>
        <w:pageBreakBefore/>
        <w:spacing w:before="280" w:after="80"/>
        <w:pBdr>
          <w:bottom w:val="single" w:sz="6" w:space="2" w:color="C9BBA6"/>
        </w:pBdr>
      </w:pPr>
      <w:r>
        <w:rPr>
          <w:rFonts w:ascii="Aptos" w:hAnsi="Aptos" w:cs="Aptos" w:eastAsia="Aptos"/>
          <w:b/>
          <w:color w:val="8C5A2B"/>
          <w:sz w:val="28"/>
        </w:rPr>
        <w:t>3  Die Antwortmuster</w:t>
      </w:r>
    </w:p>
    <w:p>
      <w:pPr>
        <w:jc w:val="both"/>
      </w:pPr>
      <w:r>
        <w:rPr>
          <w:rFonts w:ascii="Aptos" w:hAnsi="Aptos" w:cs="Aptos" w:eastAsia="Aptos"/>
          <w:b w:val="0"/>
          <w:i w:val="0"/>
          <w:sz w:val="19"/>
        </w:rPr>
        <w:t>Die schwache Antwort verteidigt, schweigt oder weicht aus; die tragfähige bietet an, zeigt oder benennt. Die letzte Zeile ist die wirksamste des Unterkapitels: Ein Haus, das eine Wiederholung von sich aus benennt und erklärt, was es daraus gelernt hat, wird anders bewertet als eines, das sie verteidigt.</w:t>
      </w:r>
    </w:p>
    <w:tbl>
      <w:tblPr>
        <w:tblW w:type="auto" w:w="0"/>
        <w:jc w:val="center"/>
        <w:tblLayout w:type="fixed"/>
        <w:tblLook w:firstColumn="1" w:firstRow="1" w:lastColumn="0" w:lastRow="0" w:noHBand="0" w:noVBand="1" w:val="04A0"/>
        <w:tblLayout w:type="fixed"/>
      </w:tblPr>
      <w:tblGrid>
        <w:gridCol w:w="2835"/>
        <w:gridCol w:w="2041"/>
        <w:gridCol w:w="4762"/>
      </w:tblGrid>
      <w:tr>
        <w:trPr>
          <w:tblHeader w:val="true"/>
        </w:trPr>
        <w:tc>
          <w:tcPr>
            <w:tcW w:type="dxa" w:w="2835"/>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Situation</w:t>
            </w:r>
          </w:p>
        </w:tc>
        <w:tc>
          <w:tcPr>
            <w:tcW w:type="dxa" w:w="204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Die schwache Antwort</w:t>
            </w:r>
          </w:p>
        </w:tc>
        <w:tc>
          <w:tcPr>
            <w:tcW w:type="dxa" w:w="4762"/>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Die tragfähige Antwort</w:t>
            </w:r>
          </w:p>
        </w:tc>
      </w:tr>
      <w:tr>
        <w:trPr>
          <w:cantSplit w:val="true"/>
          <w:trHeight w:val="567" w:hRule="atLeast"/>
        </w:trPr>
        <w:tc>
          <w:tcPr>
            <w:tcW w:type="dxa" w:w="28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„Eine Betriebsanweisung ist nicht vorhanden.“</w:t>
            </w:r>
          </w:p>
        </w:tc>
        <w:tc>
          <w:tcPr>
            <w:tcW w:type="dxa" w:w="204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Schweigen</w:t>
            </w:r>
          </w:p>
        </w:tc>
        <w:tc>
          <w:tcPr>
            <w:tcW w:type="dxa" w:w="4762"/>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„Sie hängt an der Innenseite der Schranktür – darf ich sie Ihnen zeigen?“</w:t>
            </w:r>
          </w:p>
        </w:tc>
      </w:tr>
      <w:tr>
        <w:trPr>
          <w:cantSplit w:val="true"/>
          <w:trHeight w:val="567" w:hRule="atLeast"/>
        </w:trPr>
        <w:tc>
          <w:tcPr>
            <w:tcW w:type="dxa" w:w="283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„Diese Person ist nicht unterwiesen.“</w:t>
            </w:r>
          </w:p>
        </w:tc>
        <w:tc>
          <w:tcPr>
            <w:tcW w:type="dxa" w:w="204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„Doch, sicher.“</w:t>
            </w:r>
          </w:p>
        </w:tc>
        <w:tc>
          <w:tcPr>
            <w:tcW w:type="dxa" w:w="4762"/>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„Der Nachweis liegt bei der Fachkraft; ich hole ihn in fünf Minuten.“</w:t>
            </w:r>
          </w:p>
        </w:tc>
      </w:tr>
      <w:tr>
        <w:trPr>
          <w:cantSplit w:val="true"/>
          <w:trHeight w:val="567" w:hRule="atLeast"/>
        </w:trPr>
        <w:tc>
          <w:tcPr>
            <w:tcW w:type="dxa" w:w="28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„Das ist eine schwerwiegende Abweichung.“</w:t>
            </w:r>
          </w:p>
        </w:tc>
        <w:tc>
          <w:tcPr>
            <w:tcW w:type="dxa" w:w="204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„Das sehen wir aber anders.“</w:t>
            </w:r>
          </w:p>
        </w:tc>
        <w:tc>
          <w:tcPr>
            <w:tcW w:type="dxa" w:w="4762"/>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„Verstanden. Können Sie mir kurz sagen, woran Sie das festmachen?“</w:t>
            </w:r>
          </w:p>
        </w:tc>
      </w:tr>
      <w:tr>
        <w:trPr>
          <w:cantSplit w:val="true"/>
          <w:trHeight w:val="567" w:hRule="atLeast"/>
        </w:trPr>
        <w:tc>
          <w:tcPr>
            <w:tcW w:type="dxa" w:w="283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„Warum ist das so geregelt?“</w:t>
            </w:r>
          </w:p>
        </w:tc>
        <w:tc>
          <w:tcPr>
            <w:tcW w:type="dxa" w:w="204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„Das war schon immer so.“</w:t>
            </w:r>
          </w:p>
        </w:tc>
        <w:tc>
          <w:tcPr>
            <w:tcW w:type="dxa" w:w="4762"/>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„Wir haben uns dafür entschieden, weil … – ob es trägt, prüfen wir gerade.“</w:t>
            </w:r>
          </w:p>
        </w:tc>
      </w:tr>
      <w:tr>
        <w:trPr>
          <w:cantSplit w:val="true"/>
          <w:trHeight w:val="567" w:hRule="atLeast"/>
        </w:trPr>
        <w:tc>
          <w:tcPr>
            <w:tcW w:type="dxa" w:w="28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„Zeigen Sie mir den letzten Vorfall.“</w:t>
            </w:r>
          </w:p>
        </w:tc>
        <w:tc>
          <w:tcPr>
            <w:tcW w:type="dxa" w:w="204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„Wir hatten keine.“</w:t>
            </w:r>
          </w:p>
        </w:tc>
        <w:tc>
          <w:tcPr>
            <w:tcW w:type="dxa" w:w="4762"/>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„Wir hatten drei Meldungen, davon einen Beinaheunfall – hier ist die Auswertung.“</w:t>
            </w:r>
          </w:p>
        </w:tc>
      </w:tr>
      <w:tr>
        <w:trPr>
          <w:cantSplit w:val="true"/>
          <w:trHeight w:val="567" w:hRule="atLeast"/>
        </w:trPr>
        <w:tc>
          <w:tcPr>
            <w:tcW w:type="dxa" w:w="283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„Das haben Sie im letzten Jahr auch schon gehabt.“</w:t>
            </w:r>
          </w:p>
        </w:tc>
        <w:tc>
          <w:tcPr>
            <w:tcW w:type="dxa" w:w="204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Rechtfertigung</w:t>
            </w:r>
          </w:p>
        </w:tc>
        <w:tc>
          <w:tcPr>
            <w:tcW w:type="dxa" w:w="4762"/>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„Ja. Wir haben es damals mit einer Unterweisung gelöst, und das hat nicht gewirkt. Deshalb steht jetzt die Beschaffung im Budget.“</w:t>
            </w:r>
          </w:p>
        </w:tc>
      </w:tr>
    </w:tbl>
    <w:p>
      <w:r>
        <w:rPr>
          <w:rFonts w:ascii="Aptos" w:hAnsi="Aptos" w:cs="Aptos" w:eastAsia="Aptos"/>
          <w:b w:val="0"/>
          <w:i/>
          <w:color w:val="7A6A55"/>
          <w:sz w:val="17"/>
        </w:rPr>
        <w:t>Antwortmuster aus Abschnitt 4.7. Die tragfähigen Antworten sind Muster, keine Sprechzettel: Antworten Sie mit dem, was in Ihrem Haus stimmt.</w:t>
      </w:r>
    </w:p>
    <w:p>
      <w:pPr>
        <w:keepNext/>
        <w:spacing w:before="160" w:after="60"/>
      </w:pPr>
      <w:r>
        <w:rPr>
          <w:rFonts w:ascii="Aptos" w:hAnsi="Aptos" w:cs="Aptos" w:eastAsia="Aptos"/>
          <w:b/>
          <w:color w:val="8C5A2B"/>
          <w:sz w:val="23"/>
        </w:rPr>
        <w:t>Ihre eigenen Situationen</w:t>
      </w:r>
    </w:p>
    <w:tbl>
      <w:tblPr>
        <w:tblW w:type="auto" w:w="0"/>
        <w:jc w:val="center"/>
        <w:tblLayout w:type="fixed"/>
        <w:tblLook w:firstColumn="1" w:firstRow="1" w:lastColumn="0" w:lastRow="0" w:noHBand="0" w:noVBand="1" w:val="04A0"/>
        <w:tblLayout w:type="fixed"/>
      </w:tblPr>
      <w:tblGrid>
        <w:gridCol w:w="2835"/>
        <w:gridCol w:w="2041"/>
        <w:gridCol w:w="4762"/>
      </w:tblGrid>
      <w:tr>
        <w:trPr>
          <w:tblHeader w:val="true"/>
        </w:trPr>
        <w:tc>
          <w:tcPr>
            <w:tcW w:type="dxa" w:w="2835"/>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9"/>
              </w:rPr>
              <w:t>Situation, die bei uns vorkommen kann</w:t>
            </w:r>
          </w:p>
        </w:tc>
        <w:tc>
          <w:tcPr>
            <w:tcW w:type="dxa" w:w="204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9"/>
              </w:rPr>
              <w:t>Die schwache Antwort</w:t>
            </w:r>
          </w:p>
        </w:tc>
        <w:tc>
          <w:tcPr>
            <w:tcW w:type="dxa" w:w="4762"/>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9"/>
              </w:rPr>
              <w:t>Unsere tragfähige Antwort</w:t>
            </w:r>
          </w:p>
        </w:tc>
      </w:tr>
      <w:tr>
        <w:trPr>
          <w:cantSplit w:val="true"/>
          <w:trHeight w:val="680" w:hRule="atLeast"/>
        </w:trPr>
        <w:tc>
          <w:tcPr>
            <w:tcW w:type="dxa" w:w="28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r>
          </w:p>
        </w:tc>
        <w:tc>
          <w:tcPr>
            <w:tcW w:type="dxa" w:w="204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r>
          </w:p>
        </w:tc>
        <w:tc>
          <w:tcPr>
            <w:tcW w:type="dxa" w:w="4762"/>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r>
          </w:p>
        </w:tc>
      </w:tr>
      <w:tr>
        <w:trPr>
          <w:cantSplit w:val="true"/>
          <w:trHeight w:val="680" w:hRule="atLeast"/>
        </w:trPr>
        <w:tc>
          <w:tcPr>
            <w:tcW w:type="dxa" w:w="283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9"/>
              </w:rPr>
            </w:r>
          </w:p>
        </w:tc>
        <w:tc>
          <w:tcPr>
            <w:tcW w:type="dxa" w:w="204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9"/>
              </w:rPr>
            </w:r>
          </w:p>
        </w:tc>
        <w:tc>
          <w:tcPr>
            <w:tcW w:type="dxa" w:w="4762"/>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9"/>
              </w:rPr>
            </w:r>
          </w:p>
        </w:tc>
      </w:tr>
      <w:tr>
        <w:trPr>
          <w:cantSplit w:val="true"/>
          <w:trHeight w:val="680" w:hRule="atLeast"/>
        </w:trPr>
        <w:tc>
          <w:tcPr>
            <w:tcW w:type="dxa" w:w="28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r>
          </w:p>
        </w:tc>
        <w:tc>
          <w:tcPr>
            <w:tcW w:type="dxa" w:w="204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r>
          </w:p>
        </w:tc>
        <w:tc>
          <w:tcPr>
            <w:tcW w:type="dxa" w:w="4762"/>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r>
          </w:p>
        </w:tc>
      </w:tr>
    </w:tbl>
    <w:p>
      <w:pPr>
        <w:keepNext/>
        <w:spacing w:before="160" w:after="60"/>
      </w:pPr>
      <w:r>
        <w:rPr>
          <w:rFonts w:ascii="Aptos" w:hAnsi="Aptos" w:cs="Aptos" w:eastAsia="Aptos"/>
          <w:b/>
          <w:color w:val="8C5A2B"/>
          <w:sz w:val="23"/>
        </w:rPr>
        <w:t>Sätze, die schaden – und was stattdessen trägt</w:t>
      </w:r>
    </w:p>
    <w:tbl>
      <w:tblPr>
        <w:tblW w:type="auto" w:w="0"/>
        <w:jc w:val="center"/>
        <w:tblLayout w:type="fixed"/>
        <w:tblLook w:firstColumn="1" w:firstRow="1" w:lastColumn="0" w:lastRow="0" w:noHBand="0" w:noVBand="1" w:val="04A0"/>
        <w:tblLayout w:type="fixed"/>
      </w:tblPr>
      <w:tblGrid>
        <w:gridCol w:w="4536"/>
        <w:gridCol w:w="5103"/>
      </w:tblGrid>
      <w:tr>
        <w:trPr>
          <w:tblHeader w:val="true"/>
        </w:trPr>
        <w:tc>
          <w:tcPr>
            <w:tcW w:type="dxa" w:w="4535"/>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Schadet</w:t>
            </w:r>
          </w:p>
        </w:tc>
        <w:tc>
          <w:tcPr>
            <w:tcW w:type="dxa" w:w="5102"/>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Trägt</w:t>
            </w:r>
          </w:p>
        </w:tc>
      </w:tr>
      <w:tr>
        <w:trPr>
          <w:cantSplit w:val="true"/>
          <w:trHeight w:val="453" w:hRule="atLeast"/>
        </w:trPr>
        <w:tc>
          <w:tcPr>
            <w:tcW w:type="dxa" w:w="45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„Das machen wir schon immer so.“</w:t>
            </w:r>
          </w:p>
        </w:tc>
        <w:tc>
          <w:tcPr>
            <w:tcW w:type="dxa" w:w="5102"/>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„Das ist historisch gewachsen; wir haben es nie überprüft.“</w:t>
            </w:r>
          </w:p>
        </w:tc>
      </w:tr>
      <w:tr>
        <w:trPr>
          <w:cantSplit w:val="true"/>
          <w:trHeight w:val="453" w:hRule="atLeast"/>
        </w:trPr>
        <w:tc>
          <w:tcPr>
            <w:tcW w:type="dxa" w:w="453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„Das ist bei uns nicht relevant.“</w:t>
            </w:r>
          </w:p>
        </w:tc>
        <w:tc>
          <w:tcPr>
            <w:tcW w:type="dxa" w:w="5102"/>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„Wir haben es geprüft und aus diesem Grund ausgeschlossen.“</w:t>
            </w:r>
          </w:p>
        </w:tc>
      </w:tr>
      <w:tr>
        <w:trPr>
          <w:cantSplit w:val="true"/>
          <w:trHeight w:val="453" w:hRule="atLeast"/>
        </w:trPr>
        <w:tc>
          <w:tcPr>
            <w:tcW w:type="dxa" w:w="45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„Das erledigen wir heute noch.“</w:t>
            </w:r>
          </w:p>
        </w:tc>
        <w:tc>
          <w:tcPr>
            <w:tcW w:type="dxa" w:w="5102"/>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„Wir nehmen es in die Maßnahmenliste mit realistischem Termin.“</w:t>
            </w:r>
          </w:p>
        </w:tc>
      </w:tr>
      <w:tr>
        <w:trPr>
          <w:cantSplit w:val="true"/>
          <w:trHeight w:val="453" w:hRule="atLeast"/>
        </w:trPr>
        <w:tc>
          <w:tcPr>
            <w:tcW w:type="dxa" w:w="453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„Der Kollege ist heute leider nicht da.“</w:t>
            </w:r>
          </w:p>
        </w:tc>
        <w:tc>
          <w:tcPr>
            <w:tcW w:type="dxa" w:w="5102"/>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„Ich rufe ihn an, er ist in zehn Minuten hier.“</w:t>
            </w:r>
          </w:p>
        </w:tc>
      </w:tr>
      <w:tr>
        <w:trPr>
          <w:cantSplit w:val="true"/>
          <w:trHeight w:val="453" w:hRule="atLeast"/>
        </w:trPr>
        <w:tc>
          <w:tcPr>
            <w:tcW w:type="dxa" w:w="45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„Da müssten Sie die Fachkraft fragen.“</w:t>
            </w:r>
          </w:p>
        </w:tc>
        <w:tc>
          <w:tcPr>
            <w:tcW w:type="dxa" w:w="5102"/>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„Ich beantworte, was ich weiß, und hole für den Rest Hilfe.“</w:t>
            </w:r>
          </w:p>
        </w:tc>
      </w:tr>
      <w:tr>
        <w:trPr>
          <w:cantSplit w:val="true"/>
          <w:trHeight w:val="453" w:hRule="atLeast"/>
        </w:trPr>
        <w:tc>
          <w:tcPr>
            <w:tcW w:type="dxa" w:w="453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„Wir hatten noch nie einen Unfall.“</w:t>
            </w:r>
          </w:p>
        </w:tc>
        <w:tc>
          <w:tcPr>
            <w:tcW w:type="dxa" w:w="5102"/>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„Wir hatten zwei meldepflichtige Ereignisse; hier ist, was daraus folgte.“</w:t>
            </w:r>
          </w:p>
        </w:tc>
      </w:tr>
    </w:tbl>
    <w:p>
      <w:r>
        <w:rPr>
          <w:rFonts w:ascii="Aptos" w:hAnsi="Aptos" w:cs="Aptos" w:eastAsia="Aptos"/>
          <w:b w:val="0"/>
          <w:i/>
          <w:color w:val="7A6A55"/>
          <w:sz w:val="17"/>
        </w:rPr>
        <w:t>Der Satz vom unfallfreien Haus ist für einen Auditor ein Anlass zur Vertiefung: Entweder das Haus ist außergewöhnlich sicher, oder es meldet nicht. Die Beispiele „zwei meldepflichtige Ereignisse“ und „drei Meldungen“ stammen aus dem Buch; setzen Sie Ihre eigenen Zahlen ein.</w:t>
      </w:r>
    </w:p>
    <w:p>
      <w:pPr>
        <w:keepNext/>
        <w:pageBreakBefore w:val="0"/>
        <w:spacing w:before="280" w:after="80"/>
        <w:pBdr>
          <w:bottom w:val="single" w:sz="6" w:space="2" w:color="C9BBA6"/>
        </w:pBdr>
      </w:pPr>
      <w:r>
        <w:rPr>
          <w:rFonts w:ascii="Aptos" w:hAnsi="Aptos" w:cs="Aptos" w:eastAsia="Aptos"/>
          <w:b/>
          <w:color w:val="8C5A2B"/>
          <w:sz w:val="28"/>
        </w:rPr>
        <w:t>4  Die Begleitung: benannt, mit Mitschrift</w:t>
      </w:r>
    </w:p>
    <w:p>
      <w:pPr>
        <w:jc w:val="both"/>
      </w:pPr>
      <w:r>
        <w:rPr>
          <w:rFonts w:ascii="Aptos" w:hAnsi="Aptos" w:cs="Aptos" w:eastAsia="Aptos"/>
          <w:b w:val="0"/>
          <w:i w:val="0"/>
          <w:sz w:val="19"/>
        </w:rPr>
        <w:t>Zwei Rollen werden im Haus während des Audits gebraucht. Die Begleitung führt den Auditor, öffnet Türen, holt Personen und beschafft Unterlagen: Sie antwortet nicht, sie ermöglicht. Die Mitschrift notiert, welche Feststellungen genannt und welche Unterlagen verlangt wurden: Genannte Feststellung, verlangte Unterlage, Zusage, Uhrzeit. Eine Begleitung ist möglich, eine Kontrolle nicht – der Auditor wählt seine Gesprächspartner selbst und darf Beschäftigte allein befragen.</w:t>
      </w:r>
    </w:p>
    <w:tbl>
      <w:tblPr>
        <w:tblW w:type="auto" w:w="0"/>
        <w:tblLayout w:type="fixed"/>
        <w:tblLook w:firstColumn="1" w:firstRow="1" w:lastColumn="0" w:lastRow="0" w:noHBand="0" w:noVBand="1" w:val="04A0"/>
      </w:tblPr>
      <w:tblGrid>
        <w:gridCol w:w="2409"/>
        <w:gridCol w:w="2409"/>
        <w:gridCol w:w="2409"/>
        <w:gridCol w:w="2409"/>
      </w:tblGrid>
      <w:tr>
        <w:tc>
          <w:tcPr>
            <w:tcW w:type="dxa" w:w="1814"/>
          </w:tcPr>
          <w:p>
            <w:pPr>
              <w:spacing w:after="20"/>
            </w:pPr>
            <w:r>
              <w:rPr>
                <w:rFonts w:ascii="Aptos" w:hAnsi="Aptos" w:cs="Aptos" w:eastAsia="Aptos"/>
                <w:b/>
                <w:i w:val="0"/>
                <w:color w:val="8C5A2B"/>
                <w:sz w:val="19"/>
              </w:rPr>
              <w:t>Begleitung (Name)</w:t>
            </w:r>
          </w:p>
        </w:tc>
        <w:tc>
          <w:tcPr>
            <w:tcW w:type="dxa" w:w="3005"/>
            <w:tcBorders>
              <w:bottom w:val="single" w:sz="6" w:space="0" w:color="C9BBA6"/>
            </w:tcBorders>
          </w:tcPr>
          <w:p>
            <w:pPr>
              <w:spacing w:after="20"/>
            </w:pPr>
          </w:p>
        </w:tc>
        <w:tc>
          <w:tcPr>
            <w:tcW w:type="dxa" w:w="1814"/>
          </w:tcPr>
          <w:p>
            <w:pPr>
              <w:spacing w:after="20"/>
            </w:pPr>
            <w:r>
              <w:rPr>
                <w:rFonts w:ascii="Aptos" w:hAnsi="Aptos" w:cs="Aptos" w:eastAsia="Aptos"/>
                <w:b/>
                <w:i w:val="0"/>
                <w:color w:val="8C5A2B"/>
                <w:sz w:val="19"/>
              </w:rPr>
              <w:t>Vertretung</w:t>
            </w:r>
          </w:p>
        </w:tc>
        <w:tc>
          <w:tcPr>
            <w:tcW w:type="dxa" w:w="3005"/>
            <w:tcBorders>
              <w:bottom w:val="single" w:sz="6" w:space="0" w:color="C9BBA6"/>
            </w:tcBorders>
          </w:tcPr>
          <w:p>
            <w:pPr>
              <w:spacing w:after="20"/>
            </w:pPr>
          </w:p>
        </w:tc>
      </w:tr>
      <w:tr>
        <w:tc>
          <w:tcPr>
            <w:tcW w:type="dxa" w:w="1814"/>
          </w:tcPr>
          <w:p>
            <w:pPr>
              <w:spacing w:after="20"/>
            </w:pPr>
            <w:r>
              <w:rPr>
                <w:rFonts w:ascii="Aptos" w:hAnsi="Aptos" w:cs="Aptos" w:eastAsia="Aptos"/>
                <w:b/>
                <w:i w:val="0"/>
                <w:color w:val="8C5A2B"/>
                <w:sz w:val="19"/>
              </w:rPr>
              <w:t>Mitschrift (Name)</w:t>
            </w:r>
          </w:p>
        </w:tc>
        <w:tc>
          <w:tcPr>
            <w:tcW w:type="dxa" w:w="3005"/>
            <w:tcBorders>
              <w:bottom w:val="single" w:sz="6" w:space="0" w:color="C9BBA6"/>
            </w:tcBorders>
          </w:tcPr>
          <w:p>
            <w:pPr>
              <w:spacing w:after="20"/>
            </w:pPr>
          </w:p>
        </w:tc>
        <w:tc>
          <w:tcPr>
            <w:tcW w:type="dxa" w:w="1814"/>
          </w:tcPr>
          <w:p>
            <w:pPr>
              <w:spacing w:after="20"/>
            </w:pPr>
            <w:r>
              <w:rPr>
                <w:rFonts w:ascii="Aptos" w:hAnsi="Aptos" w:cs="Aptos" w:eastAsia="Aptos"/>
                <w:b/>
                <w:i w:val="0"/>
                <w:color w:val="8C5A2B"/>
                <w:sz w:val="19"/>
              </w:rPr>
              <w:t>Vertretung</w:t>
            </w:r>
          </w:p>
        </w:tc>
        <w:tc>
          <w:tcPr>
            <w:tcW w:type="dxa" w:w="3005"/>
            <w:tcBorders>
              <w:bottom w:val="single" w:sz="6" w:space="0" w:color="C9BBA6"/>
            </w:tcBorders>
          </w:tcPr>
          <w:p>
            <w:pPr>
              <w:spacing w:after="20"/>
            </w:pPr>
          </w:p>
        </w:tc>
      </w:tr>
      <w:tr>
        <w:tc>
          <w:tcPr>
            <w:tcW w:type="dxa" w:w="1814"/>
          </w:tcPr>
          <w:p>
            <w:pPr>
              <w:spacing w:after="20"/>
            </w:pPr>
            <w:r>
              <w:rPr>
                <w:rFonts w:ascii="Aptos" w:hAnsi="Aptos" w:cs="Aptos" w:eastAsia="Aptos"/>
                <w:b/>
                <w:i w:val="0"/>
                <w:color w:val="8C5A2B"/>
                <w:sz w:val="19"/>
              </w:rPr>
              <w:t>Ruhiger Arbeitsplatz für das Auditteam</w:t>
            </w:r>
          </w:p>
        </w:tc>
        <w:tc>
          <w:tcPr>
            <w:tcW w:type="dxa" w:w="3005"/>
            <w:tcBorders>
              <w:bottom w:val="single" w:sz="6" w:space="0" w:color="C9BBA6"/>
            </w:tcBorders>
          </w:tcPr>
          <w:p>
            <w:pPr>
              <w:spacing w:after="20"/>
            </w:pPr>
          </w:p>
        </w:tc>
        <w:tc>
          <w:tcPr>
            <w:tcW w:type="dxa" w:w="1814"/>
          </w:tcPr>
          <w:p>
            <w:pPr>
              <w:spacing w:after="20"/>
            </w:pPr>
            <w:r>
              <w:rPr>
                <w:rFonts w:ascii="Aptos" w:hAnsi="Aptos" w:cs="Aptos" w:eastAsia="Aptos"/>
                <w:b/>
                <w:i w:val="0"/>
                <w:color w:val="8C5A2B"/>
                <w:sz w:val="19"/>
              </w:rPr>
              <w:t>Ungestört telefonieren möglich in</w:t>
            </w:r>
          </w:p>
        </w:tc>
        <w:tc>
          <w:tcPr>
            <w:tcW w:type="dxa" w:w="3005"/>
            <w:tcBorders>
              <w:bottom w:val="single" w:sz="6" w:space="0" w:color="C9BBA6"/>
            </w:tcBorders>
          </w:tcPr>
          <w:p>
            <w:pPr>
              <w:spacing w:after="20"/>
            </w:pPr>
          </w:p>
        </w:tc>
      </w:tr>
      <w:tr>
        <w:tc>
          <w:tcPr>
            <w:tcW w:type="dxa" w:w="1814"/>
          </w:tcPr>
          <w:p>
            <w:pPr>
              <w:spacing w:after="20"/>
            </w:pPr>
            <w:r>
              <w:rPr>
                <w:rFonts w:ascii="Aptos" w:hAnsi="Aptos" w:cs="Aptos" w:eastAsia="Aptos"/>
                <w:b/>
                <w:i w:val="0"/>
                <w:color w:val="8C5A2B"/>
                <w:sz w:val="19"/>
              </w:rPr>
              <w:t>Ansprechperson, erreichbar an allen Audittagen</w:t>
            </w:r>
          </w:p>
        </w:tc>
        <w:tc>
          <w:tcPr>
            <w:tcW w:type="dxa" w:w="3005"/>
            <w:tcBorders>
              <w:bottom w:val="single" w:sz="6" w:space="0" w:color="C9BBA6"/>
            </w:tcBorders>
          </w:tcPr>
          <w:p>
            <w:pPr>
              <w:spacing w:after="20"/>
            </w:pPr>
          </w:p>
        </w:tc>
        <w:tc>
          <w:tcPr>
            <w:tcW w:type="dxa" w:w="1814"/>
          </w:tcPr>
          <w:p>
            <w:pPr>
              <w:spacing w:after="20"/>
            </w:pPr>
            <w:r>
              <w:rPr>
                <w:rFonts w:ascii="Aptos" w:hAnsi="Aptos" w:cs="Aptos" w:eastAsia="Aptos"/>
                <w:b/>
                <w:i w:val="0"/>
                <w:color w:val="8C5A2B"/>
                <w:sz w:val="19"/>
              </w:rPr>
              <w:t>Audittage / Auditzeitraum</w:t>
            </w:r>
          </w:p>
        </w:tc>
        <w:tc>
          <w:tcPr>
            <w:tcW w:type="dxa" w:w="3005"/>
            <w:tcBorders>
              <w:bottom w:val="single" w:sz="6" w:space="0" w:color="C9BBA6"/>
            </w:tcBorders>
          </w:tcPr>
          <w:p>
            <w:pPr>
              <w:spacing w:after="20"/>
            </w:pPr>
          </w:p>
        </w:tc>
      </w:tr>
    </w:tbl>
    <w:p>
      <w:pPr>
        <w:spacing w:after="60"/>
      </w:pPr>
    </w:p>
    <w:p>
      <w:pPr>
        <w:jc w:val="both"/>
      </w:pPr>
      <w:r>
        <w:rPr>
          <w:rFonts w:ascii="Aptos" w:hAnsi="Aptos" w:cs="Aptos" w:eastAsia="Aptos"/>
          <w:b w:val="0"/>
          <w:i w:val="0"/>
          <w:sz w:val="19"/>
        </w:rPr>
        <w:t>Willkommen ist, was die Arbeit des Auditors erleichtert: Arbeitsplatz mit Tisch, Strom und Ruhe (nicht das Direktionsbüro, nicht die Lobby), eine erreichbare Ansprechperson, selbst bestimmte Pausen. Nicht: ein langes Mittagessen, eine Führung durch die Suiten, Geschenke jeder Art – sie kosten Auditzeit oder bringen ihn in die Lage, sie zurückzuweisen. Üblich ist eine normale Verpflegung.</w:t>
      </w:r>
    </w:p>
    <w:p>
      <w:pPr>
        <w:keepNext/>
        <w:pageBreakBefore/>
        <w:spacing w:before="280" w:after="80"/>
        <w:pBdr>
          <w:bottom w:val="single" w:sz="6" w:space="2" w:color="C9BBA6"/>
        </w:pBdr>
      </w:pPr>
      <w:r>
        <w:rPr>
          <w:rFonts w:ascii="Aptos" w:hAnsi="Aptos" w:cs="Aptos" w:eastAsia="Aptos"/>
          <w:b/>
          <w:color w:val="8C5A2B"/>
          <w:sz w:val="28"/>
        </w:rPr>
        <w:t>5  Mitschrift</w:t>
      </w:r>
    </w:p>
    <w:tbl>
      <w:tblPr>
        <w:tblW w:type="auto" w:w="0"/>
        <w:tblLayout w:type="fixed"/>
        <w:tblLook w:firstColumn="1" w:firstRow="1" w:lastColumn="0" w:lastRow="0" w:noHBand="0" w:noVBand="1" w:val="04A0"/>
      </w:tblPr>
      <w:tblGrid>
        <w:gridCol w:w="2409"/>
        <w:gridCol w:w="2409"/>
        <w:gridCol w:w="2409"/>
        <w:gridCol w:w="2409"/>
      </w:tblGrid>
      <w:tr>
        <w:tc>
          <w:tcPr>
            <w:tcW w:type="dxa" w:w="1814"/>
          </w:tcPr>
          <w:p>
            <w:pPr>
              <w:spacing w:after="20"/>
            </w:pPr>
            <w:r>
              <w:rPr>
                <w:rFonts w:ascii="Aptos" w:hAnsi="Aptos" w:cs="Aptos" w:eastAsia="Aptos"/>
                <w:b/>
                <w:i w:val="0"/>
                <w:color w:val="8C5A2B"/>
                <w:sz w:val="19"/>
              </w:rPr>
              <w:t>Audit am / Tag</w:t>
            </w:r>
          </w:p>
        </w:tc>
        <w:tc>
          <w:tcPr>
            <w:tcW w:type="dxa" w:w="3005"/>
            <w:tcBorders>
              <w:bottom w:val="single" w:sz="6" w:space="0" w:color="C9BBA6"/>
            </w:tcBorders>
          </w:tcPr>
          <w:p>
            <w:pPr>
              <w:spacing w:after="20"/>
            </w:pPr>
          </w:p>
        </w:tc>
        <w:tc>
          <w:tcPr>
            <w:tcW w:type="dxa" w:w="1814"/>
          </w:tcPr>
          <w:p>
            <w:pPr>
              <w:spacing w:after="20"/>
            </w:pPr>
            <w:r>
              <w:rPr>
                <w:rFonts w:ascii="Aptos" w:hAnsi="Aptos" w:cs="Aptos" w:eastAsia="Aptos"/>
                <w:b/>
                <w:i w:val="0"/>
                <w:color w:val="8C5A2B"/>
                <w:sz w:val="19"/>
              </w:rPr>
              <w:t>Mitschrift: Name (Funktion)</w:t>
            </w:r>
          </w:p>
        </w:tc>
        <w:tc>
          <w:tcPr>
            <w:tcW w:type="dxa" w:w="3005"/>
            <w:tcBorders>
              <w:bottom w:val="single" w:sz="6" w:space="0" w:color="C9BBA6"/>
            </w:tcBorders>
          </w:tcPr>
          <w:p>
            <w:pPr>
              <w:spacing w:after="20"/>
            </w:pPr>
          </w:p>
        </w:tc>
      </w:tr>
    </w:tbl>
    <w:p>
      <w:pPr>
        <w:spacing w:after="60"/>
      </w:pPr>
    </w:p>
    <w:tbl>
      <w:tblPr>
        <w:tblW w:type="auto" w:w="0"/>
        <w:jc w:val="center"/>
        <w:tblLayout w:type="fixed"/>
        <w:tblLook w:firstColumn="1" w:firstRow="1" w:lastColumn="0" w:lastRow="0" w:noHBand="0" w:noVBand="1" w:val="04A0"/>
        <w:tblLayout w:type="fixed"/>
      </w:tblPr>
      <w:tblGrid>
        <w:gridCol w:w="850"/>
        <w:gridCol w:w="1814"/>
        <w:gridCol w:w="3118"/>
        <w:gridCol w:w="850"/>
        <w:gridCol w:w="1644"/>
        <w:gridCol w:w="1360"/>
      </w:tblGrid>
      <w:tr>
        <w:trPr>
          <w:tblHeader w:val="true"/>
        </w:trPr>
        <w:tc>
          <w:tcPr>
            <w:tcW w:type="dxa" w:w="850"/>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Uhrzeit</w:t>
            </w:r>
          </w:p>
        </w:tc>
        <w:tc>
          <w:tcPr>
            <w:tcW w:type="dxa" w:w="1814"/>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Bereich, Person (Funktion statt Name)</w:t>
            </w:r>
          </w:p>
        </w:tc>
        <w:tc>
          <w:tcPr>
            <w:tcW w:type="dxa" w:w="311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Genannte Feststellung · verlangte Unterlage · Zusage</w:t>
            </w:r>
          </w:p>
        </w:tc>
        <w:tc>
          <w:tcPr>
            <w:tcW w:type="dxa" w:w="850"/>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Art</w:t>
            </w:r>
          </w:p>
        </w:tc>
        <w:tc>
          <w:tcPr>
            <w:tcW w:type="dxa" w:w="1644"/>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Klausel, Einstufung (nur notieren)</w:t>
            </w:r>
          </w:p>
        </w:tc>
        <w:tc>
          <w:tcPr>
            <w:tcW w:type="dxa" w:w="136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Sachverhalt richtiggestellt?</w:t>
            </w:r>
          </w:p>
        </w:tc>
      </w:tr>
      <w:tr>
        <w:trPr>
          <w:cantSplit w:val="true"/>
          <w:trHeight w:val="708" w:hRule="atLeast"/>
        </w:trPr>
        <w:tc>
          <w:tcPr>
            <w:tcW w:type="dxa" w:w="850"/>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81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311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850"/>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64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36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708" w:hRule="atLeast"/>
        </w:trPr>
        <w:tc>
          <w:tcPr>
            <w:tcW w:type="dxa" w:w="850"/>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181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311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850"/>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164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136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r>
      <w:tr>
        <w:trPr>
          <w:cantSplit w:val="true"/>
          <w:trHeight w:val="708" w:hRule="atLeast"/>
        </w:trPr>
        <w:tc>
          <w:tcPr>
            <w:tcW w:type="dxa" w:w="850"/>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81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311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850"/>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64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36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708" w:hRule="atLeast"/>
        </w:trPr>
        <w:tc>
          <w:tcPr>
            <w:tcW w:type="dxa" w:w="850"/>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181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311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850"/>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164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136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r>
      <w:tr>
        <w:trPr>
          <w:cantSplit w:val="true"/>
          <w:trHeight w:val="708" w:hRule="atLeast"/>
        </w:trPr>
        <w:tc>
          <w:tcPr>
            <w:tcW w:type="dxa" w:w="850"/>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81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311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850"/>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64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36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708" w:hRule="atLeast"/>
        </w:trPr>
        <w:tc>
          <w:tcPr>
            <w:tcW w:type="dxa" w:w="850"/>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181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311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850"/>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164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136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r>
      <w:tr>
        <w:trPr>
          <w:cantSplit w:val="true"/>
          <w:trHeight w:val="708" w:hRule="atLeast"/>
        </w:trPr>
        <w:tc>
          <w:tcPr>
            <w:tcW w:type="dxa" w:w="850"/>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81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311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850"/>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64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36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708" w:hRule="atLeast"/>
        </w:trPr>
        <w:tc>
          <w:tcPr>
            <w:tcW w:type="dxa" w:w="850"/>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181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311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850"/>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164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136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r>
      <w:tr>
        <w:trPr>
          <w:cantSplit w:val="true"/>
          <w:trHeight w:val="708" w:hRule="atLeast"/>
        </w:trPr>
        <w:tc>
          <w:tcPr>
            <w:tcW w:type="dxa" w:w="850"/>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81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311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850"/>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64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36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708" w:hRule="atLeast"/>
        </w:trPr>
        <w:tc>
          <w:tcPr>
            <w:tcW w:type="dxa" w:w="850"/>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181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311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850"/>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164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136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r>
      <w:tr>
        <w:trPr>
          <w:cantSplit w:val="true"/>
          <w:trHeight w:val="708" w:hRule="atLeast"/>
        </w:trPr>
        <w:tc>
          <w:tcPr>
            <w:tcW w:type="dxa" w:w="850"/>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81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311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850"/>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64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36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708" w:hRule="atLeast"/>
        </w:trPr>
        <w:tc>
          <w:tcPr>
            <w:tcW w:type="dxa" w:w="850"/>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181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311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850"/>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164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136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r>
      <w:tr>
        <w:trPr>
          <w:cantSplit w:val="true"/>
          <w:trHeight w:val="708" w:hRule="atLeast"/>
        </w:trPr>
        <w:tc>
          <w:tcPr>
            <w:tcW w:type="dxa" w:w="850"/>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81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311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850"/>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64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36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bl>
    <w:p>
      <w:r>
        <w:rPr>
          <w:rFonts w:ascii="Aptos" w:hAnsi="Aptos" w:cs="Aptos" w:eastAsia="Aptos"/>
          <w:b w:val="0"/>
          <w:i/>
          <w:color w:val="7A6A55"/>
          <w:sz w:val="17"/>
        </w:rPr>
        <w:t>Art: F = Feststellung, U = verlangte Unterlage, Z = Zusage (Zusagen werden notiert und im nächsten Audit geprüft – nur zusagen, was man hält). Richtigstellen: ja / nein / Unterlage bringen bis ______.</w:t>
      </w:r>
    </w:p>
    <w:p>
      <w:pPr>
        <w:keepNext/>
        <w:pageBreakBefore/>
        <w:spacing w:before="280" w:after="80"/>
        <w:pBdr>
          <w:bottom w:val="single" w:sz="6" w:space="2" w:color="C9BBA6"/>
        </w:pBdr>
      </w:pPr>
      <w:r>
        <w:rPr>
          <w:rFonts w:ascii="Aptos" w:hAnsi="Aptos" w:cs="Aptos" w:eastAsia="Aptos"/>
          <w:b/>
          <w:color w:val="8C5A2B"/>
          <w:sz w:val="28"/>
        </w:rPr>
        <w:t>Das Abschlussgespräch mitschreiben</w:t>
      </w:r>
    </w:p>
    <w:p>
      <w:pPr>
        <w:jc w:val="both"/>
      </w:pPr>
      <w:r>
        <w:rPr>
          <w:rFonts w:ascii="Aptos" w:hAnsi="Aptos" w:cs="Aptos" w:eastAsia="Aptos"/>
          <w:b w:val="0"/>
          <w:i w:val="0"/>
          <w:sz w:val="19"/>
        </w:rPr>
        <w:t>Über den Sachverhalt darf und soll man sprechen (der Auditor hat die Fassung von 2023 gesehen, die aktuelle liegt daneben – sofort klären). Über die Einstufung zu verhandeln ist aussichtslos; wer sie für falsch hält, hat den Weg über das Verfahren der Stelle – das Abschlussgespräch ist nicht der Ort dafür.</w:t>
      </w:r>
    </w:p>
    <w:tbl>
      <w:tblPr>
        <w:tblW w:type="auto" w:w="0"/>
        <w:jc w:val="center"/>
        <w:tblLayout w:type="fixed"/>
        <w:tblLook w:firstColumn="1" w:firstRow="1" w:lastColumn="0" w:lastRow="0" w:noHBand="0" w:noVBand="1" w:val="04A0"/>
        <w:tblLayout w:type="fixed"/>
      </w:tblPr>
      <w:tblGrid>
        <w:gridCol w:w="2494"/>
        <w:gridCol w:w="3515"/>
        <w:gridCol w:w="3628"/>
      </w:tblGrid>
      <w:tr>
        <w:trPr>
          <w:tblHeader w:val="true"/>
        </w:trPr>
        <w:tc>
          <w:tcPr>
            <w:tcW w:type="dxa" w:w="2494"/>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Abschnitt</w:t>
            </w:r>
          </w:p>
        </w:tc>
        <w:tc>
          <w:tcPr>
            <w:tcW w:type="dxa" w:w="3515"/>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Was das Haus tut</w:t>
            </w:r>
          </w:p>
        </w:tc>
        <w:tc>
          <w:tcPr>
            <w:tcW w:type="dxa" w:w="362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Notizen</w:t>
            </w:r>
          </w:p>
        </w:tc>
      </w:tr>
      <w:tr>
        <w:trPr>
          <w:cantSplit w:val="true"/>
          <w:trHeight w:val="907" w:hRule="atLeast"/>
        </w:trPr>
        <w:tc>
          <w:tcPr>
            <w:tcW w:type="dxa" w:w="249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8"/>
              </w:rPr>
              <w:t>Dank und Rahmen</w:t>
            </w:r>
          </w:p>
        </w:tc>
        <w:tc>
          <w:tcPr>
            <w:tcW w:type="dxa" w:w="351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Zuhören</w:t>
            </w:r>
          </w:p>
        </w:tc>
        <w:tc>
          <w:tcPr>
            <w:tcW w:type="dxa" w:w="362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r>
      <w:tr>
        <w:trPr>
          <w:cantSplit w:val="true"/>
          <w:trHeight w:val="907" w:hRule="atLeast"/>
        </w:trPr>
        <w:tc>
          <w:tcPr>
            <w:tcW w:type="dxa" w:w="249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8"/>
              </w:rPr>
              <w:t>Positive Beobachtungen</w:t>
            </w:r>
          </w:p>
        </w:tc>
        <w:tc>
          <w:tcPr>
            <w:tcW w:type="dxa" w:w="351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Notieren – sie gehören in die Rückmeldung an die Bereiche</w:t>
            </w:r>
          </w:p>
        </w:tc>
        <w:tc>
          <w:tcPr>
            <w:tcW w:type="dxa" w:w="362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r>
      <w:tr>
        <w:trPr>
          <w:cantSplit w:val="true"/>
          <w:trHeight w:val="907" w:hRule="atLeast"/>
        </w:trPr>
        <w:tc>
          <w:tcPr>
            <w:tcW w:type="dxa" w:w="249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8"/>
              </w:rPr>
              <w:t>Feststellungen (Sachverhalt, Klausel, Einstufung)</w:t>
            </w:r>
          </w:p>
        </w:tc>
        <w:tc>
          <w:tcPr>
            <w:tcW w:type="dxa" w:w="351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Nachfragen, wenn der Sachverhalt unklar ist – nicht über die Einstufung verhandeln</w:t>
            </w:r>
          </w:p>
        </w:tc>
        <w:tc>
          <w:tcPr>
            <w:tcW w:type="dxa" w:w="362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r>
      <w:tr>
        <w:trPr>
          <w:cantSplit w:val="true"/>
          <w:trHeight w:val="907" w:hRule="atLeast"/>
        </w:trPr>
        <w:tc>
          <w:tcPr>
            <w:tcW w:type="dxa" w:w="249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8"/>
              </w:rPr>
              <w:t>Fristen und weiteres Vorgehen</w:t>
            </w:r>
          </w:p>
        </w:tc>
        <w:tc>
          <w:tcPr>
            <w:tcW w:type="dxa" w:w="351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Genau mitschreiben; hier entstehen die Termine</w:t>
            </w:r>
          </w:p>
        </w:tc>
        <w:tc>
          <w:tcPr>
            <w:tcW w:type="dxa" w:w="362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r>
      <w:tr>
        <w:trPr>
          <w:cantSplit w:val="true"/>
          <w:trHeight w:val="907" w:hRule="atLeast"/>
        </w:trPr>
        <w:tc>
          <w:tcPr>
            <w:tcW w:type="dxa" w:w="249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8"/>
              </w:rPr>
              <w:t>Empfehlung</w:t>
            </w:r>
          </w:p>
        </w:tc>
        <w:tc>
          <w:tcPr>
            <w:tcW w:type="dxa" w:w="351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Zur Kenntnis nehmen – die Entscheidung trifft ein anderer</w:t>
            </w:r>
          </w:p>
        </w:tc>
        <w:tc>
          <w:tcPr>
            <w:tcW w:type="dxa" w:w="362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r>
      <w:tr>
        <w:trPr>
          <w:cantSplit w:val="true"/>
          <w:trHeight w:val="907" w:hRule="atLeast"/>
        </w:trPr>
        <w:tc>
          <w:tcPr>
            <w:tcW w:type="dxa" w:w="249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8"/>
              </w:rPr>
              <w:t>Fragen des Hauses</w:t>
            </w:r>
          </w:p>
        </w:tc>
        <w:tc>
          <w:tcPr>
            <w:tcW w:type="dxa" w:w="351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Verständnisfragen ja, Diskussion über Bewertungen nein</w:t>
            </w:r>
          </w:p>
        </w:tc>
        <w:tc>
          <w:tcPr>
            <w:tcW w:type="dxa" w:w="362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r>
    </w:tbl>
    <w:p>
      <w:pPr>
        <w:spacing w:after="40"/>
      </w:pPr>
    </w:p>
    <w:tbl>
      <w:tblPr>
        <w:tblW w:type="auto" w:w="0"/>
        <w:jc w:val="center"/>
        <w:tblLayout w:type="fixed"/>
        <w:tblLook w:firstColumn="1" w:firstRow="1" w:lastColumn="0" w:lastRow="0" w:noHBand="0" w:noVBand="1" w:val="04A0"/>
        <w:tblLayout w:type="fixed"/>
      </w:tblPr>
      <w:tblGrid>
        <w:gridCol w:w="5670"/>
        <w:gridCol w:w="1984"/>
        <w:gridCol w:w="1984"/>
      </w:tblGrid>
      <w:tr>
        <w:trPr>
          <w:tblHeader w:val="true"/>
        </w:trPr>
        <w:tc>
          <w:tcPr>
            <w:tcW w:type="dxa" w:w="5669"/>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9"/>
              </w:rPr>
              <w:t>Was ist bis wann vorzulegen?</w:t>
            </w:r>
          </w:p>
        </w:tc>
        <w:tc>
          <w:tcPr>
            <w:tcW w:type="dxa" w:w="1984"/>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9"/>
              </w:rPr>
              <w:t>Wer</w:t>
            </w:r>
          </w:p>
        </w:tc>
        <w:tc>
          <w:tcPr>
            <w:tcW w:type="dxa" w:w="1984"/>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9"/>
              </w:rPr>
              <w:t>Frist laut Stelle</w:t>
            </w:r>
          </w:p>
        </w:tc>
      </w:tr>
      <w:tr>
        <w:trPr>
          <w:cantSplit w:val="true"/>
          <w:trHeight w:val="510" w:hRule="atLeast"/>
        </w:trPr>
        <w:tc>
          <w:tcPr>
            <w:tcW w:type="dxa" w:w="566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r>
          </w:p>
        </w:tc>
        <w:tc>
          <w:tcPr>
            <w:tcW w:type="dxa" w:w="198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r>
          </w:p>
        </w:tc>
        <w:tc>
          <w:tcPr>
            <w:tcW w:type="dxa" w:w="198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r>
          </w:p>
        </w:tc>
      </w:tr>
      <w:tr>
        <w:trPr>
          <w:cantSplit w:val="true"/>
          <w:trHeight w:val="510" w:hRule="atLeast"/>
        </w:trPr>
        <w:tc>
          <w:tcPr>
            <w:tcW w:type="dxa" w:w="5669"/>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9"/>
              </w:rPr>
            </w:r>
          </w:p>
        </w:tc>
        <w:tc>
          <w:tcPr>
            <w:tcW w:type="dxa" w:w="198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9"/>
              </w:rPr>
            </w:r>
          </w:p>
        </w:tc>
        <w:tc>
          <w:tcPr>
            <w:tcW w:type="dxa" w:w="198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9"/>
              </w:rPr>
            </w:r>
          </w:p>
        </w:tc>
      </w:tr>
      <w:tr>
        <w:trPr>
          <w:cantSplit w:val="true"/>
          <w:trHeight w:val="510" w:hRule="atLeast"/>
        </w:trPr>
        <w:tc>
          <w:tcPr>
            <w:tcW w:type="dxa" w:w="566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r>
          </w:p>
        </w:tc>
        <w:tc>
          <w:tcPr>
            <w:tcW w:type="dxa" w:w="198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r>
          </w:p>
        </w:tc>
        <w:tc>
          <w:tcPr>
            <w:tcW w:type="dxa" w:w="198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r>
          </w:p>
        </w:tc>
      </w:tr>
      <w:tr>
        <w:trPr>
          <w:cantSplit w:val="true"/>
          <w:trHeight w:val="510" w:hRule="atLeast"/>
        </w:trPr>
        <w:tc>
          <w:tcPr>
            <w:tcW w:type="dxa" w:w="5669"/>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9"/>
              </w:rPr>
            </w:r>
          </w:p>
        </w:tc>
        <w:tc>
          <w:tcPr>
            <w:tcW w:type="dxa" w:w="198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9"/>
              </w:rPr>
            </w:r>
          </w:p>
        </w:tc>
        <w:tc>
          <w:tcPr>
            <w:tcW w:type="dxa" w:w="198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9"/>
              </w:rPr>
            </w:r>
          </w:p>
        </w:tc>
      </w:tr>
    </w:tbl>
    <w:p>
      <w:r>
        <w:rPr>
          <w:rFonts w:ascii="Aptos" w:hAnsi="Aptos" w:cs="Aptos" w:eastAsia="Aptos"/>
          <w:b w:val="0"/>
          <w:i/>
          <w:color w:val="7A6A55"/>
          <w:sz w:val="17"/>
        </w:rPr>
        <w:t>Wer die Befunde des eigenen Bereichs im Original hört, bearbeitet sie anders: Bereichsleitungen zum Abschlussgespräch einladen.</w:t>
      </w:r>
    </w:p>
    <w:p>
      <w:pPr>
        <w:keepNext/>
        <w:pageBreakBefore/>
        <w:spacing w:before="280" w:after="80"/>
        <w:pBdr>
          <w:bottom w:val="single" w:sz="6" w:space="2" w:color="C9BBA6"/>
        </w:pBdr>
      </w:pPr>
      <w:r>
        <w:rPr>
          <w:rFonts w:ascii="Aptos" w:hAnsi="Aptos" w:cs="Aptos" w:eastAsia="Aptos"/>
          <w:b/>
          <w:color w:val="8C5A2B"/>
          <w:sz w:val="28"/>
        </w:rPr>
        <w:t>6  Sprache, Vertretung der Beschäftigten, Datenschutz – vorab klären</w:t>
      </w:r>
    </w:p>
    <w:tbl>
      <w:tblPr>
        <w:tblW w:type="auto" w:w="0"/>
        <w:jc w:val="center"/>
        <w:tblLayout w:type="fixed"/>
        <w:tblLook w:firstColumn="1" w:firstRow="1" w:lastColumn="0" w:lastRow="0" w:noHBand="0" w:noVBand="1" w:val="04A0"/>
        <w:tblLayout w:type="fixed"/>
      </w:tblPr>
      <w:tblGrid>
        <w:gridCol w:w="1927"/>
        <w:gridCol w:w="2494"/>
        <w:gridCol w:w="1984"/>
        <w:gridCol w:w="1644"/>
        <w:gridCol w:w="1587"/>
      </w:tblGrid>
      <w:tr>
        <w:trPr>
          <w:tblHeader w:val="true"/>
        </w:trPr>
        <w:tc>
          <w:tcPr>
            <w:tcW w:type="dxa" w:w="192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Frage</w:t>
            </w:r>
          </w:p>
        </w:tc>
        <w:tc>
          <w:tcPr>
            <w:tcW w:type="dxa" w:w="2494"/>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Deutschland</w:t>
            </w:r>
          </w:p>
        </w:tc>
        <w:tc>
          <w:tcPr>
            <w:tcW w:type="dxa" w:w="1984"/>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Österreich</w:t>
            </w:r>
          </w:p>
        </w:tc>
        <w:tc>
          <w:tcPr>
            <w:tcW w:type="dxa" w:w="1644"/>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Schweiz</w:t>
            </w:r>
          </w:p>
        </w:tc>
        <w:tc>
          <w:tcPr>
            <w:tcW w:type="dxa" w:w="1587"/>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Geklärt am / mit</w:t>
            </w:r>
          </w:p>
        </w:tc>
      </w:tr>
      <w:tr>
        <w:trPr>
          <w:cantSplit w:val="true"/>
          <w:trHeight w:val="737" w:hRule="atLeast"/>
        </w:trPr>
        <w:tc>
          <w:tcPr>
            <w:tcW w:type="dxa" w:w="192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7"/>
              </w:rPr>
              <w:t>Teilnahme der Vertretung der Beschäftigten</w:t>
            </w:r>
          </w:p>
        </w:tc>
        <w:tc>
          <w:tcPr>
            <w:tcW w:type="dxa" w:w="249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Betriebsrat, Sicherheitsbeauftragte üblich und sinnvoll</w:t>
            </w:r>
          </w:p>
        </w:tc>
        <w:tc>
          <w:tcPr>
            <w:tcW w:type="dxa" w:w="198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Belegschaftsvertretung, Sicherheitsvertrauenspersonen</w:t>
            </w:r>
          </w:p>
        </w:tc>
        <w:tc>
          <w:tcPr>
            <w:tcW w:type="dxa" w:w="164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Mitwirkung, Sicherheitsbeauftragte</w:t>
            </w:r>
          </w:p>
        </w:tc>
        <w:tc>
          <w:tcPr>
            <w:tcW w:type="dxa" w:w="1587"/>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737" w:hRule="atLeast"/>
        </w:trPr>
        <w:tc>
          <w:tcPr>
            <w:tcW w:type="dxa" w:w="192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7"/>
              </w:rPr>
              <w:t>Befragung Beschäftigter</w:t>
            </w:r>
          </w:p>
        </w:tc>
        <w:tc>
          <w:tcPr>
            <w:tcW w:type="dxa" w:w="249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Zulässig; keine Leistungs- oder Verhaltenskontrolle</w:t>
            </w:r>
          </w:p>
        </w:tc>
        <w:tc>
          <w:tcPr>
            <w:tcW w:type="dxa" w:w="198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Zulässig; Kontrollmaßnahmen berühren die Menschenwürde</w:t>
            </w:r>
          </w:p>
        </w:tc>
        <w:tc>
          <w:tcPr>
            <w:tcW w:type="dxa" w:w="164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Zulässig; keine Verhaltenskontrolle</w:t>
            </w:r>
          </w:p>
        </w:tc>
        <w:tc>
          <w:tcPr>
            <w:tcW w:type="dxa" w:w="1587"/>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r>
      <w:tr>
        <w:trPr>
          <w:cantSplit w:val="true"/>
          <w:trHeight w:val="737" w:hRule="atLeast"/>
        </w:trPr>
        <w:tc>
          <w:tcPr>
            <w:tcW w:type="dxa" w:w="192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7"/>
              </w:rPr>
              <w:t>Namen im Auditbericht</w:t>
            </w:r>
          </w:p>
        </w:tc>
        <w:tc>
          <w:tcPr>
            <w:tcW w:type="dxa" w:w="249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Datenminimierung – Funktionen statt Namen</w:t>
            </w:r>
          </w:p>
        </w:tc>
        <w:tc>
          <w:tcPr>
            <w:tcW w:type="dxa" w:w="198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ebenso</w:t>
            </w:r>
          </w:p>
        </w:tc>
        <w:tc>
          <w:tcPr>
            <w:tcW w:type="dxa" w:w="164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ebenso</w:t>
            </w:r>
          </w:p>
        </w:tc>
        <w:tc>
          <w:tcPr>
            <w:tcW w:type="dxa" w:w="1587"/>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737" w:hRule="atLeast"/>
        </w:trPr>
        <w:tc>
          <w:tcPr>
            <w:tcW w:type="dxa" w:w="192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7"/>
              </w:rPr>
              <w:t>Fotografieren</w:t>
            </w:r>
          </w:p>
        </w:tc>
        <w:tc>
          <w:tcPr>
            <w:tcW w:type="dxa" w:w="249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Sachverhalte im Vordergrund, Personenbezug nur soweit nötig; Mitbestimmung beachten</w:t>
            </w:r>
          </w:p>
        </w:tc>
        <w:tc>
          <w:tcPr>
            <w:tcW w:type="dxa" w:w="198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ebenso</w:t>
            </w:r>
          </w:p>
        </w:tc>
        <w:tc>
          <w:tcPr>
            <w:tcW w:type="dxa" w:w="164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ebenso</w:t>
            </w:r>
          </w:p>
        </w:tc>
        <w:tc>
          <w:tcPr>
            <w:tcW w:type="dxa" w:w="1587"/>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r>
      <w:tr>
        <w:trPr>
          <w:cantSplit w:val="true"/>
          <w:trHeight w:val="737" w:hRule="atLeast"/>
        </w:trPr>
        <w:tc>
          <w:tcPr>
            <w:tcW w:type="dxa" w:w="192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7"/>
              </w:rPr>
              <w:t>Sprache des Audits</w:t>
            </w:r>
          </w:p>
        </w:tc>
        <w:tc>
          <w:tcPr>
            <w:tcW w:type="dxa" w:w="249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Vorher vereinbaren; bei mehrsprachigem Personal Sprachmittler klären</w:t>
            </w:r>
          </w:p>
        </w:tc>
        <w:tc>
          <w:tcPr>
            <w:tcW w:type="dxa" w:w="198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ebenso</w:t>
            </w:r>
          </w:p>
        </w:tc>
        <w:tc>
          <w:tcPr>
            <w:tcW w:type="dxa" w:w="164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ebenso</w:t>
            </w:r>
          </w:p>
        </w:tc>
        <w:tc>
          <w:tcPr>
            <w:tcW w:type="dxa" w:w="1587"/>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737" w:hRule="atLeast"/>
        </w:trPr>
        <w:tc>
          <w:tcPr>
            <w:tcW w:type="dxa" w:w="192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7"/>
              </w:rPr>
              <w:t>Einsicht in Personalunterlagen</w:t>
            </w:r>
          </w:p>
        </w:tc>
        <w:tc>
          <w:tcPr>
            <w:tcW w:type="dxa" w:w="249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Nur soweit für den Nachweis nötig; Gesundheitsdaten geschützt</w:t>
            </w:r>
          </w:p>
        </w:tc>
        <w:tc>
          <w:tcPr>
            <w:tcW w:type="dxa" w:w="198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ebenso</w:t>
            </w:r>
          </w:p>
        </w:tc>
        <w:tc>
          <w:tcPr>
            <w:tcW w:type="dxa" w:w="164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ebenso</w:t>
            </w:r>
          </w:p>
        </w:tc>
        <w:tc>
          <w:tcPr>
            <w:tcW w:type="dxa" w:w="1587"/>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r>
    </w:tbl>
    <w:p>
      <w:pPr>
        <w:spacing w:after="60"/>
      </w:pPr>
    </w:p>
    <w:tbl>
      <w:tblPr>
        <w:tblW w:type="auto" w:w="0"/>
        <w:tblLayout w:type="fixed"/>
        <w:tblLook w:firstColumn="1" w:firstRow="1" w:lastColumn="0" w:lastRow="0" w:noHBand="0" w:noVBand="1" w:val="04A0"/>
      </w:tblPr>
      <w:tblGrid>
        <w:gridCol w:w="2409"/>
        <w:gridCol w:w="2409"/>
        <w:gridCol w:w="2409"/>
        <w:gridCol w:w="2409"/>
      </w:tblGrid>
      <w:tr>
        <w:tc>
          <w:tcPr>
            <w:tcW w:type="dxa" w:w="1814"/>
          </w:tcPr>
          <w:p>
            <w:pPr>
              <w:spacing w:after="20"/>
            </w:pPr>
            <w:r>
              <w:rPr>
                <w:rFonts w:ascii="Aptos" w:hAnsi="Aptos" w:cs="Aptos" w:eastAsia="Aptos"/>
                <w:b/>
                <w:i w:val="0"/>
                <w:color w:val="8C5A2B"/>
                <w:sz w:val="19"/>
              </w:rPr>
              <w:t>Sprache des Audits</w:t>
            </w:r>
          </w:p>
        </w:tc>
        <w:tc>
          <w:tcPr>
            <w:tcW w:type="dxa" w:w="3005"/>
            <w:tcBorders>
              <w:bottom w:val="single" w:sz="6" w:space="0" w:color="C9BBA6"/>
            </w:tcBorders>
          </w:tcPr>
          <w:p>
            <w:pPr>
              <w:spacing w:after="20"/>
            </w:pPr>
          </w:p>
        </w:tc>
        <w:tc>
          <w:tcPr>
            <w:tcW w:type="dxa" w:w="1814"/>
          </w:tcPr>
          <w:p>
            <w:pPr>
              <w:spacing w:after="20"/>
            </w:pPr>
            <w:r>
              <w:rPr>
                <w:rFonts w:ascii="Aptos" w:hAnsi="Aptos" w:cs="Aptos" w:eastAsia="Aptos"/>
                <w:b/>
                <w:i w:val="0"/>
                <w:color w:val="8C5A2B"/>
                <w:sz w:val="19"/>
              </w:rPr>
              <w:t>Sprachmittler nötig für</w:t>
            </w:r>
          </w:p>
        </w:tc>
        <w:tc>
          <w:tcPr>
            <w:tcW w:type="dxa" w:w="3005"/>
            <w:tcBorders>
              <w:bottom w:val="single" w:sz="6" w:space="0" w:color="C9BBA6"/>
            </w:tcBorders>
          </w:tcPr>
          <w:p>
            <w:pPr>
              <w:spacing w:after="20"/>
            </w:pPr>
          </w:p>
        </w:tc>
      </w:tr>
      <w:tr>
        <w:tc>
          <w:tcPr>
            <w:tcW w:type="dxa" w:w="1814"/>
          </w:tcPr>
          <w:p>
            <w:pPr>
              <w:spacing w:after="20"/>
            </w:pPr>
            <w:r>
              <w:rPr>
                <w:rFonts w:ascii="Aptos" w:hAnsi="Aptos" w:cs="Aptos" w:eastAsia="Aptos"/>
                <w:b/>
                <w:i w:val="0"/>
                <w:color w:val="8C5A2B"/>
                <w:sz w:val="19"/>
              </w:rPr>
              <w:t>Vertretung nimmt teil an</w:t>
            </w:r>
          </w:p>
        </w:tc>
        <w:tc>
          <w:tcPr>
            <w:tcW w:type="dxa" w:w="3005"/>
            <w:tcBorders>
              <w:bottom w:val="single" w:sz="6" w:space="0" w:color="C9BBA6"/>
            </w:tcBorders>
          </w:tcPr>
          <w:p>
            <w:pPr>
              <w:spacing w:after="20"/>
            </w:pPr>
          </w:p>
        </w:tc>
        <w:tc>
          <w:tcPr>
            <w:tcW w:type="dxa" w:w="1814"/>
          </w:tcPr>
          <w:p>
            <w:pPr>
              <w:spacing w:after="20"/>
            </w:pPr>
            <w:r>
              <w:rPr>
                <w:rFonts w:ascii="Aptos" w:hAnsi="Aptos" w:cs="Aptos" w:eastAsia="Aptos"/>
                <w:b/>
                <w:i w:val="0"/>
                <w:color w:val="8C5A2B"/>
                <w:sz w:val="19"/>
              </w:rPr>
              <w:t>Hausregel Fotografieren</w:t>
            </w:r>
          </w:p>
        </w:tc>
        <w:tc>
          <w:tcPr>
            <w:tcW w:type="dxa" w:w="3005"/>
            <w:tcBorders>
              <w:bottom w:val="single" w:sz="6" w:space="0" w:color="C9BBA6"/>
            </w:tcBorders>
          </w:tcPr>
          <w:p>
            <w:pPr>
              <w:spacing w:after="20"/>
            </w:pPr>
          </w:p>
        </w:tc>
      </w:tr>
    </w:tbl>
    <w:p>
      <w:pPr>
        <w:spacing w:after="60"/>
      </w:pPr>
    </w:p>
    <w:p>
      <w:pPr>
        <w:spacing w:after="40"/>
        <w:jc w:val="both"/>
      </w:pPr>
      <w:r>
        <w:rPr>
          <w:rFonts w:ascii="Aptos" w:hAnsi="Aptos" w:cs="Aptos" w:eastAsia="Aptos"/>
          <w:b w:val="0"/>
          <w:i w:val="0"/>
          <w:sz w:val="19"/>
        </w:rPr>
        <w:t>Unterlagen, die nicht vorgelegt werden, und der Nachweis, der stattdessen dient (Beispiele aus dem Buch: für die Unterweisung der Unterweisungsnachweis; für die Ersthelfer die Zahl und die Schulungsbescheinigung – Gesundheitsdaten, Diagnosen und Inhalte arbeitsmedizinischer Vorsorge gehören nicht dazu):</w:t>
      </w:r>
    </w:p>
    <w:tbl>
      <w:tblPr>
        <w:tblW w:type="auto" w:w="0"/>
        <w:jc w:val="center"/>
        <w:tblLayout w:type="fixed"/>
        <w:tblLook w:firstColumn="1" w:firstRow="1" w:lastColumn="0" w:lastRow="0" w:noHBand="0" w:noVBand="1" w:val="04A0"/>
        <w:tblLayout w:type="fixed"/>
      </w:tblPr>
      <w:tblGrid>
        <w:gridCol w:w="4819"/>
        <w:gridCol w:w="4819"/>
      </w:tblGrid>
      <w:tr>
        <w:trPr>
          <w:tblHeader w:val="true"/>
        </w:trPr>
        <w:tc>
          <w:tcPr>
            <w:tcW w:type="dxa" w:w="4819"/>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9"/>
              </w:rPr>
              <w:t>Unterlage, die nicht vorgelegt wird</w:t>
            </w:r>
          </w:p>
        </w:tc>
        <w:tc>
          <w:tcPr>
            <w:tcW w:type="dxa" w:w="4819"/>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9"/>
              </w:rPr>
              <w:t>Nachweis stattdessen</w:t>
            </w:r>
          </w:p>
        </w:tc>
      </w:tr>
      <w:tr>
        <w:trPr>
          <w:cantSplit w:val="true"/>
          <w:trHeight w:val="510" w:hRule="atLeast"/>
        </w:trPr>
        <w:tc>
          <w:tcPr>
            <w:tcW w:type="dxa" w:w="481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r>
          </w:p>
        </w:tc>
        <w:tc>
          <w:tcPr>
            <w:tcW w:type="dxa" w:w="481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r>
          </w:p>
        </w:tc>
      </w:tr>
      <w:tr>
        <w:trPr>
          <w:cantSplit w:val="true"/>
          <w:trHeight w:val="510" w:hRule="atLeast"/>
        </w:trPr>
        <w:tc>
          <w:tcPr>
            <w:tcW w:type="dxa" w:w="4819"/>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9"/>
              </w:rPr>
            </w:r>
          </w:p>
        </w:tc>
        <w:tc>
          <w:tcPr>
            <w:tcW w:type="dxa" w:w="4819"/>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9"/>
              </w:rPr>
            </w:r>
          </w:p>
        </w:tc>
      </w:tr>
      <w:tr>
        <w:trPr>
          <w:cantSplit w:val="true"/>
          <w:trHeight w:val="510" w:hRule="atLeast"/>
        </w:trPr>
        <w:tc>
          <w:tcPr>
            <w:tcW w:type="dxa" w:w="481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r>
          </w:p>
        </w:tc>
        <w:tc>
          <w:tcPr>
            <w:tcW w:type="dxa" w:w="481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r>
          </w:p>
        </w:tc>
      </w:tr>
    </w:tbl>
    <w:p>
      <w:r>
        <w:rPr>
          <w:rFonts w:ascii="Aptos" w:hAnsi="Aptos" w:cs="Aptos" w:eastAsia="Aptos"/>
          <w:b w:val="0"/>
          <w:i/>
          <w:color w:val="7A6A55"/>
          <w:sz w:val="17"/>
        </w:rPr>
        <w:t>Zeigen sollte man alles, was belegt, dass das System arbeitet – Maßnahmenliste mit offenen Punkten, Untersuchungsbericht, Beinaheunfallmeldungen. Faustregel: Was ein internes Audit sehen würde, sieht auch das externe; was nur die Personalabteilung sieht, bleibt dort.</w:t>
      </w:r>
    </w:p>
    <w:p>
      <w:pPr>
        <w:keepNext/>
        <w:pageBreakBefore/>
        <w:spacing w:before="280" w:after="80"/>
        <w:pBdr>
          <w:bottom w:val="single" w:sz="6" w:space="2" w:color="C9BBA6"/>
        </w:pBdr>
      </w:pPr>
      <w:r>
        <w:rPr>
          <w:rFonts w:ascii="Aptos" w:hAnsi="Aptos" w:cs="Aptos" w:eastAsia="Aptos"/>
          <w:b/>
          <w:color w:val="8C5A2B"/>
          <w:sz w:val="28"/>
        </w:rPr>
        <w:t>7  Fünf Minuten Vorbereitung je Bereich</w:t>
      </w:r>
    </w:p>
    <w:p>
      <w:pPr>
        <w:jc w:val="both"/>
      </w:pPr>
      <w:r>
        <w:rPr>
          <w:rFonts w:ascii="Aptos" w:hAnsi="Aptos" w:cs="Aptos" w:eastAsia="Aptos"/>
          <w:b w:val="0"/>
          <w:i w:val="0"/>
          <w:sz w:val="19"/>
        </w:rPr>
        <w:t>Zwei Wochen vor dem Audit erhält jede Bereichsleitung dieselben drei Regeln und die Tabelle der Antwortmuster. Kein Rollenspiel, keine vorgegebenen Antworten – nur die Erlaubnis zu widersprechen und die Bitte, nicht zu verhandeln. Zusätzlich geht der interne Auditor mit jeder Bereichsleitung ihre Gefährdungsbeurteilung durch – nicht als Vorbereitung auf Fragen, sondern weil es ohnehin fällig war.</w:t>
      </w:r>
    </w:p>
    <w:tbl>
      <w:tblPr>
        <w:tblW w:type="auto" w:w="0"/>
        <w:jc w:val="center"/>
        <w:tblLayout w:type="fixed"/>
        <w:tblLook w:firstColumn="1" w:firstRow="1" w:lastColumn="0" w:lastRow="0" w:noHBand="0" w:noVBand="1" w:val="04A0"/>
        <w:tblLayout w:type="fixed"/>
      </w:tblPr>
      <w:tblGrid>
        <w:gridCol w:w="2041"/>
        <w:gridCol w:w="2041"/>
        <w:gridCol w:w="1474"/>
        <w:gridCol w:w="1134"/>
        <w:gridCol w:w="1134"/>
        <w:gridCol w:w="1814"/>
      </w:tblGrid>
      <w:tr>
        <w:trPr>
          <w:tblHeader w:val="true"/>
        </w:trPr>
        <w:tc>
          <w:tcPr>
            <w:tcW w:type="dxa" w:w="204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Bereich</w:t>
            </w:r>
          </w:p>
        </w:tc>
        <w:tc>
          <w:tcPr>
            <w:tcW w:type="dxa" w:w="204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Bereichsleitung</w:t>
            </w:r>
          </w:p>
        </w:tc>
        <w:tc>
          <w:tcPr>
            <w:tcW w:type="dxa" w:w="1474"/>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Besprochen am</w:t>
            </w:r>
          </w:p>
        </w:tc>
        <w:tc>
          <w:tcPr>
            <w:tcW w:type="dxa" w:w="1134"/>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Regeln</w:t>
            </w:r>
          </w:p>
        </w:tc>
        <w:tc>
          <w:tcPr>
            <w:tcW w:type="dxa" w:w="1134"/>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Muster</w:t>
            </w:r>
          </w:p>
        </w:tc>
        <w:tc>
          <w:tcPr>
            <w:tcW w:type="dxa" w:w="1814"/>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Beurteilung durchgesehen</w:t>
            </w:r>
          </w:p>
        </w:tc>
      </w:tr>
      <w:tr>
        <w:trPr>
          <w:cantSplit w:val="true"/>
          <w:trHeight w:val="510" w:hRule="atLeast"/>
        </w:trPr>
        <w:tc>
          <w:tcPr>
            <w:tcW w:type="dxa" w:w="2041"/>
            <w:tcBorders>
              <w:top w:val="single" w:sz="4" w:space="0" w:color="C9BBA6"/>
              <w:left w:val="single" w:sz="4" w:space="0" w:color="C9BBA6"/>
              <w:bottom w:val="single" w:sz="4" w:space="0" w:color="C9BBA6"/>
              <w:right w:val="single" w:sz="4" w:space="0" w:color="C9BBA6"/>
            </w:tcBorders>
          </w:tcPr>
          <w:p/>
        </w:tc>
        <w:tc>
          <w:tcPr>
            <w:tcW w:type="dxa" w:w="2041"/>
            <w:tcBorders>
              <w:top w:val="single" w:sz="4" w:space="0" w:color="C9BBA6"/>
              <w:left w:val="single" w:sz="4" w:space="0" w:color="C9BBA6"/>
              <w:bottom w:val="single" w:sz="4" w:space="0" w:color="C9BBA6"/>
              <w:right w:val="single" w:sz="4" w:space="0" w:color="C9BBA6"/>
            </w:tcBorders>
          </w:tcPr>
          <w:p/>
        </w:tc>
        <w:tc>
          <w:tcPr>
            <w:tcW w:type="dxa" w:w="1474"/>
            <w:tcBorders>
              <w:top w:val="single" w:sz="4" w:space="0" w:color="C9BBA6"/>
              <w:left w:val="single" w:sz="4" w:space="0" w:color="C9BBA6"/>
              <w:bottom w:val="single" w:sz="4" w:space="0" w:color="C9BBA6"/>
              <w:right w:val="single" w:sz="4" w:space="0" w:color="C9BBA6"/>
            </w:tcBorders>
          </w:tcPr>
          <w:p/>
        </w:tc>
        <w:tc>
          <w:tcPr>
            <w:tcW w:type="dxa" w:w="1134"/>
            <w:tcBorders>
              <w:top w:val="single" w:sz="4" w:space="0" w:color="C9BBA6"/>
              <w:left w:val="single" w:sz="4" w:space="0" w:color="C9BBA6"/>
              <w:bottom w:val="single" w:sz="4" w:space="0" w:color="C9BBA6"/>
              <w:right w:val="single" w:sz="4" w:space="0" w:color="C9BBA6"/>
            </w:tcBorders>
          </w:tcPr>
          <w:p>
            <w:r>
              <w:rPr>
                <w:rFonts w:ascii="Aptos" w:hAnsi="Aptos" w:cs="Aptos" w:eastAsia="Aptos"/>
                <w:b w:val="0"/>
                <w:i w:val="0"/>
                <w:color w:val="8C5A2B"/>
                <w:sz w:val="20"/>
              </w:rPr>
              <w:t>☐</w:t>
            </w:r>
          </w:p>
        </w:tc>
        <w:tc>
          <w:tcPr>
            <w:tcW w:type="dxa" w:w="1134"/>
            <w:tcBorders>
              <w:top w:val="single" w:sz="4" w:space="0" w:color="C9BBA6"/>
              <w:left w:val="single" w:sz="4" w:space="0" w:color="C9BBA6"/>
              <w:bottom w:val="single" w:sz="4" w:space="0" w:color="C9BBA6"/>
              <w:right w:val="single" w:sz="4" w:space="0" w:color="C9BBA6"/>
            </w:tcBorders>
          </w:tcPr>
          <w:p>
            <w:r>
              <w:rPr>
                <w:rFonts w:ascii="Aptos" w:hAnsi="Aptos" w:cs="Aptos" w:eastAsia="Aptos"/>
                <w:b w:val="0"/>
                <w:i w:val="0"/>
                <w:color w:val="8C5A2B"/>
                <w:sz w:val="20"/>
              </w:rPr>
              <w:t>☐</w:t>
            </w:r>
          </w:p>
        </w:tc>
        <w:tc>
          <w:tcPr>
            <w:tcW w:type="dxa" w:w="1814"/>
            <w:tcBorders>
              <w:top w:val="single" w:sz="4" w:space="0" w:color="C9BBA6"/>
              <w:left w:val="single" w:sz="4" w:space="0" w:color="C9BBA6"/>
              <w:bottom w:val="single" w:sz="4" w:space="0" w:color="C9BBA6"/>
              <w:right w:val="single" w:sz="4" w:space="0" w:color="C9BBA6"/>
            </w:tcBorders>
          </w:tcPr>
          <w:p>
            <w:r>
              <w:rPr>
                <w:rFonts w:ascii="Aptos" w:hAnsi="Aptos" w:cs="Aptos" w:eastAsia="Aptos"/>
                <w:b w:val="0"/>
                <w:i w:val="0"/>
                <w:color w:val="8C5A2B"/>
                <w:sz w:val="20"/>
              </w:rPr>
              <w:t>☐</w:t>
            </w:r>
          </w:p>
        </w:tc>
      </w:tr>
      <w:tr>
        <w:trPr>
          <w:cantSplit w:val="true"/>
          <w:trHeight w:val="510" w:hRule="atLeast"/>
        </w:trPr>
        <w:tc>
          <w:tcPr>
            <w:tcW w:type="dxa" w:w="2041"/>
            <w:tcBorders>
              <w:top w:val="single" w:sz="4" w:space="0" w:color="C9BBA6"/>
              <w:left w:val="single" w:sz="4" w:space="0" w:color="C9BBA6"/>
              <w:bottom w:val="single" w:sz="4" w:space="0" w:color="C9BBA6"/>
              <w:right w:val="single" w:sz="4" w:space="0" w:color="C9BBA6"/>
            </w:tcBorders>
          </w:tcPr>
          <w:p/>
        </w:tc>
        <w:tc>
          <w:tcPr>
            <w:tcW w:type="dxa" w:w="2041"/>
            <w:tcBorders>
              <w:top w:val="single" w:sz="4" w:space="0" w:color="C9BBA6"/>
              <w:left w:val="single" w:sz="4" w:space="0" w:color="C9BBA6"/>
              <w:bottom w:val="single" w:sz="4" w:space="0" w:color="C9BBA6"/>
              <w:right w:val="single" w:sz="4" w:space="0" w:color="C9BBA6"/>
            </w:tcBorders>
          </w:tcPr>
          <w:p/>
        </w:tc>
        <w:tc>
          <w:tcPr>
            <w:tcW w:type="dxa" w:w="1474"/>
            <w:tcBorders>
              <w:top w:val="single" w:sz="4" w:space="0" w:color="C9BBA6"/>
              <w:left w:val="single" w:sz="4" w:space="0" w:color="C9BBA6"/>
              <w:bottom w:val="single" w:sz="4" w:space="0" w:color="C9BBA6"/>
              <w:right w:val="single" w:sz="4" w:space="0" w:color="C9BBA6"/>
            </w:tcBorders>
          </w:tcPr>
          <w:p/>
        </w:tc>
        <w:tc>
          <w:tcPr>
            <w:tcW w:type="dxa" w:w="1134"/>
            <w:tcBorders>
              <w:top w:val="single" w:sz="4" w:space="0" w:color="C9BBA6"/>
              <w:left w:val="single" w:sz="4" w:space="0" w:color="C9BBA6"/>
              <w:bottom w:val="single" w:sz="4" w:space="0" w:color="C9BBA6"/>
              <w:right w:val="single" w:sz="4" w:space="0" w:color="C9BBA6"/>
            </w:tcBorders>
          </w:tcPr>
          <w:p>
            <w:r>
              <w:rPr>
                <w:rFonts w:ascii="Aptos" w:hAnsi="Aptos" w:cs="Aptos" w:eastAsia="Aptos"/>
                <w:b w:val="0"/>
                <w:i w:val="0"/>
                <w:color w:val="8C5A2B"/>
                <w:sz w:val="20"/>
              </w:rPr>
              <w:t>☐</w:t>
            </w:r>
          </w:p>
        </w:tc>
        <w:tc>
          <w:tcPr>
            <w:tcW w:type="dxa" w:w="1134"/>
            <w:tcBorders>
              <w:top w:val="single" w:sz="4" w:space="0" w:color="C9BBA6"/>
              <w:left w:val="single" w:sz="4" w:space="0" w:color="C9BBA6"/>
              <w:bottom w:val="single" w:sz="4" w:space="0" w:color="C9BBA6"/>
              <w:right w:val="single" w:sz="4" w:space="0" w:color="C9BBA6"/>
            </w:tcBorders>
          </w:tcPr>
          <w:p>
            <w:r>
              <w:rPr>
                <w:rFonts w:ascii="Aptos" w:hAnsi="Aptos" w:cs="Aptos" w:eastAsia="Aptos"/>
                <w:b w:val="0"/>
                <w:i w:val="0"/>
                <w:color w:val="8C5A2B"/>
                <w:sz w:val="20"/>
              </w:rPr>
              <w:t>☐</w:t>
            </w:r>
          </w:p>
        </w:tc>
        <w:tc>
          <w:tcPr>
            <w:tcW w:type="dxa" w:w="1814"/>
            <w:tcBorders>
              <w:top w:val="single" w:sz="4" w:space="0" w:color="C9BBA6"/>
              <w:left w:val="single" w:sz="4" w:space="0" w:color="C9BBA6"/>
              <w:bottom w:val="single" w:sz="4" w:space="0" w:color="C9BBA6"/>
              <w:right w:val="single" w:sz="4" w:space="0" w:color="C9BBA6"/>
            </w:tcBorders>
          </w:tcPr>
          <w:p>
            <w:r>
              <w:rPr>
                <w:rFonts w:ascii="Aptos" w:hAnsi="Aptos" w:cs="Aptos" w:eastAsia="Aptos"/>
                <w:b w:val="0"/>
                <w:i w:val="0"/>
                <w:color w:val="8C5A2B"/>
                <w:sz w:val="20"/>
              </w:rPr>
              <w:t>☐</w:t>
            </w:r>
          </w:p>
        </w:tc>
      </w:tr>
      <w:tr>
        <w:trPr>
          <w:cantSplit w:val="true"/>
          <w:trHeight w:val="510" w:hRule="atLeast"/>
        </w:trPr>
        <w:tc>
          <w:tcPr>
            <w:tcW w:type="dxa" w:w="2041"/>
            <w:tcBorders>
              <w:top w:val="single" w:sz="4" w:space="0" w:color="C9BBA6"/>
              <w:left w:val="single" w:sz="4" w:space="0" w:color="C9BBA6"/>
              <w:bottom w:val="single" w:sz="4" w:space="0" w:color="C9BBA6"/>
              <w:right w:val="single" w:sz="4" w:space="0" w:color="C9BBA6"/>
            </w:tcBorders>
          </w:tcPr>
          <w:p/>
        </w:tc>
        <w:tc>
          <w:tcPr>
            <w:tcW w:type="dxa" w:w="2041"/>
            <w:tcBorders>
              <w:top w:val="single" w:sz="4" w:space="0" w:color="C9BBA6"/>
              <w:left w:val="single" w:sz="4" w:space="0" w:color="C9BBA6"/>
              <w:bottom w:val="single" w:sz="4" w:space="0" w:color="C9BBA6"/>
              <w:right w:val="single" w:sz="4" w:space="0" w:color="C9BBA6"/>
            </w:tcBorders>
          </w:tcPr>
          <w:p/>
        </w:tc>
        <w:tc>
          <w:tcPr>
            <w:tcW w:type="dxa" w:w="1474"/>
            <w:tcBorders>
              <w:top w:val="single" w:sz="4" w:space="0" w:color="C9BBA6"/>
              <w:left w:val="single" w:sz="4" w:space="0" w:color="C9BBA6"/>
              <w:bottom w:val="single" w:sz="4" w:space="0" w:color="C9BBA6"/>
              <w:right w:val="single" w:sz="4" w:space="0" w:color="C9BBA6"/>
            </w:tcBorders>
          </w:tcPr>
          <w:p/>
        </w:tc>
        <w:tc>
          <w:tcPr>
            <w:tcW w:type="dxa" w:w="1134"/>
            <w:tcBorders>
              <w:top w:val="single" w:sz="4" w:space="0" w:color="C9BBA6"/>
              <w:left w:val="single" w:sz="4" w:space="0" w:color="C9BBA6"/>
              <w:bottom w:val="single" w:sz="4" w:space="0" w:color="C9BBA6"/>
              <w:right w:val="single" w:sz="4" w:space="0" w:color="C9BBA6"/>
            </w:tcBorders>
          </w:tcPr>
          <w:p>
            <w:r>
              <w:rPr>
                <w:rFonts w:ascii="Aptos" w:hAnsi="Aptos" w:cs="Aptos" w:eastAsia="Aptos"/>
                <w:b w:val="0"/>
                <w:i w:val="0"/>
                <w:color w:val="8C5A2B"/>
                <w:sz w:val="20"/>
              </w:rPr>
              <w:t>☐</w:t>
            </w:r>
          </w:p>
        </w:tc>
        <w:tc>
          <w:tcPr>
            <w:tcW w:type="dxa" w:w="1134"/>
            <w:tcBorders>
              <w:top w:val="single" w:sz="4" w:space="0" w:color="C9BBA6"/>
              <w:left w:val="single" w:sz="4" w:space="0" w:color="C9BBA6"/>
              <w:bottom w:val="single" w:sz="4" w:space="0" w:color="C9BBA6"/>
              <w:right w:val="single" w:sz="4" w:space="0" w:color="C9BBA6"/>
            </w:tcBorders>
          </w:tcPr>
          <w:p>
            <w:r>
              <w:rPr>
                <w:rFonts w:ascii="Aptos" w:hAnsi="Aptos" w:cs="Aptos" w:eastAsia="Aptos"/>
                <w:b w:val="0"/>
                <w:i w:val="0"/>
                <w:color w:val="8C5A2B"/>
                <w:sz w:val="20"/>
              </w:rPr>
              <w:t>☐</w:t>
            </w:r>
          </w:p>
        </w:tc>
        <w:tc>
          <w:tcPr>
            <w:tcW w:type="dxa" w:w="1814"/>
            <w:tcBorders>
              <w:top w:val="single" w:sz="4" w:space="0" w:color="C9BBA6"/>
              <w:left w:val="single" w:sz="4" w:space="0" w:color="C9BBA6"/>
              <w:bottom w:val="single" w:sz="4" w:space="0" w:color="C9BBA6"/>
              <w:right w:val="single" w:sz="4" w:space="0" w:color="C9BBA6"/>
            </w:tcBorders>
          </w:tcPr>
          <w:p>
            <w:r>
              <w:rPr>
                <w:rFonts w:ascii="Aptos" w:hAnsi="Aptos" w:cs="Aptos" w:eastAsia="Aptos"/>
                <w:b w:val="0"/>
                <w:i w:val="0"/>
                <w:color w:val="8C5A2B"/>
                <w:sz w:val="20"/>
              </w:rPr>
              <w:t>☐</w:t>
            </w:r>
          </w:p>
        </w:tc>
      </w:tr>
      <w:tr>
        <w:trPr>
          <w:cantSplit w:val="true"/>
          <w:trHeight w:val="510" w:hRule="atLeast"/>
        </w:trPr>
        <w:tc>
          <w:tcPr>
            <w:tcW w:type="dxa" w:w="2041"/>
            <w:tcBorders>
              <w:top w:val="single" w:sz="4" w:space="0" w:color="C9BBA6"/>
              <w:left w:val="single" w:sz="4" w:space="0" w:color="C9BBA6"/>
              <w:bottom w:val="single" w:sz="4" w:space="0" w:color="C9BBA6"/>
              <w:right w:val="single" w:sz="4" w:space="0" w:color="C9BBA6"/>
            </w:tcBorders>
          </w:tcPr>
          <w:p/>
        </w:tc>
        <w:tc>
          <w:tcPr>
            <w:tcW w:type="dxa" w:w="2041"/>
            <w:tcBorders>
              <w:top w:val="single" w:sz="4" w:space="0" w:color="C9BBA6"/>
              <w:left w:val="single" w:sz="4" w:space="0" w:color="C9BBA6"/>
              <w:bottom w:val="single" w:sz="4" w:space="0" w:color="C9BBA6"/>
              <w:right w:val="single" w:sz="4" w:space="0" w:color="C9BBA6"/>
            </w:tcBorders>
          </w:tcPr>
          <w:p/>
        </w:tc>
        <w:tc>
          <w:tcPr>
            <w:tcW w:type="dxa" w:w="1474"/>
            <w:tcBorders>
              <w:top w:val="single" w:sz="4" w:space="0" w:color="C9BBA6"/>
              <w:left w:val="single" w:sz="4" w:space="0" w:color="C9BBA6"/>
              <w:bottom w:val="single" w:sz="4" w:space="0" w:color="C9BBA6"/>
              <w:right w:val="single" w:sz="4" w:space="0" w:color="C9BBA6"/>
            </w:tcBorders>
          </w:tcPr>
          <w:p/>
        </w:tc>
        <w:tc>
          <w:tcPr>
            <w:tcW w:type="dxa" w:w="1134"/>
            <w:tcBorders>
              <w:top w:val="single" w:sz="4" w:space="0" w:color="C9BBA6"/>
              <w:left w:val="single" w:sz="4" w:space="0" w:color="C9BBA6"/>
              <w:bottom w:val="single" w:sz="4" w:space="0" w:color="C9BBA6"/>
              <w:right w:val="single" w:sz="4" w:space="0" w:color="C9BBA6"/>
            </w:tcBorders>
          </w:tcPr>
          <w:p>
            <w:r>
              <w:rPr>
                <w:rFonts w:ascii="Aptos" w:hAnsi="Aptos" w:cs="Aptos" w:eastAsia="Aptos"/>
                <w:b w:val="0"/>
                <w:i w:val="0"/>
                <w:color w:val="8C5A2B"/>
                <w:sz w:val="20"/>
              </w:rPr>
              <w:t>☐</w:t>
            </w:r>
          </w:p>
        </w:tc>
        <w:tc>
          <w:tcPr>
            <w:tcW w:type="dxa" w:w="1134"/>
            <w:tcBorders>
              <w:top w:val="single" w:sz="4" w:space="0" w:color="C9BBA6"/>
              <w:left w:val="single" w:sz="4" w:space="0" w:color="C9BBA6"/>
              <w:bottom w:val="single" w:sz="4" w:space="0" w:color="C9BBA6"/>
              <w:right w:val="single" w:sz="4" w:space="0" w:color="C9BBA6"/>
            </w:tcBorders>
          </w:tcPr>
          <w:p>
            <w:r>
              <w:rPr>
                <w:rFonts w:ascii="Aptos" w:hAnsi="Aptos" w:cs="Aptos" w:eastAsia="Aptos"/>
                <w:b w:val="0"/>
                <w:i w:val="0"/>
                <w:color w:val="8C5A2B"/>
                <w:sz w:val="20"/>
              </w:rPr>
              <w:t>☐</w:t>
            </w:r>
          </w:p>
        </w:tc>
        <w:tc>
          <w:tcPr>
            <w:tcW w:type="dxa" w:w="1814"/>
            <w:tcBorders>
              <w:top w:val="single" w:sz="4" w:space="0" w:color="C9BBA6"/>
              <w:left w:val="single" w:sz="4" w:space="0" w:color="C9BBA6"/>
              <w:bottom w:val="single" w:sz="4" w:space="0" w:color="C9BBA6"/>
              <w:right w:val="single" w:sz="4" w:space="0" w:color="C9BBA6"/>
            </w:tcBorders>
          </w:tcPr>
          <w:p>
            <w:r>
              <w:rPr>
                <w:rFonts w:ascii="Aptos" w:hAnsi="Aptos" w:cs="Aptos" w:eastAsia="Aptos"/>
                <w:b w:val="0"/>
                <w:i w:val="0"/>
                <w:color w:val="8C5A2B"/>
                <w:sz w:val="20"/>
              </w:rPr>
              <w:t>☐</w:t>
            </w:r>
          </w:p>
        </w:tc>
      </w:tr>
      <w:tr>
        <w:trPr>
          <w:cantSplit w:val="true"/>
          <w:trHeight w:val="510" w:hRule="atLeast"/>
        </w:trPr>
        <w:tc>
          <w:tcPr>
            <w:tcW w:type="dxa" w:w="2041"/>
            <w:tcBorders>
              <w:top w:val="single" w:sz="4" w:space="0" w:color="C9BBA6"/>
              <w:left w:val="single" w:sz="4" w:space="0" w:color="C9BBA6"/>
              <w:bottom w:val="single" w:sz="4" w:space="0" w:color="C9BBA6"/>
              <w:right w:val="single" w:sz="4" w:space="0" w:color="C9BBA6"/>
            </w:tcBorders>
          </w:tcPr>
          <w:p/>
        </w:tc>
        <w:tc>
          <w:tcPr>
            <w:tcW w:type="dxa" w:w="2041"/>
            <w:tcBorders>
              <w:top w:val="single" w:sz="4" w:space="0" w:color="C9BBA6"/>
              <w:left w:val="single" w:sz="4" w:space="0" w:color="C9BBA6"/>
              <w:bottom w:val="single" w:sz="4" w:space="0" w:color="C9BBA6"/>
              <w:right w:val="single" w:sz="4" w:space="0" w:color="C9BBA6"/>
            </w:tcBorders>
          </w:tcPr>
          <w:p/>
        </w:tc>
        <w:tc>
          <w:tcPr>
            <w:tcW w:type="dxa" w:w="1474"/>
            <w:tcBorders>
              <w:top w:val="single" w:sz="4" w:space="0" w:color="C9BBA6"/>
              <w:left w:val="single" w:sz="4" w:space="0" w:color="C9BBA6"/>
              <w:bottom w:val="single" w:sz="4" w:space="0" w:color="C9BBA6"/>
              <w:right w:val="single" w:sz="4" w:space="0" w:color="C9BBA6"/>
            </w:tcBorders>
          </w:tcPr>
          <w:p/>
        </w:tc>
        <w:tc>
          <w:tcPr>
            <w:tcW w:type="dxa" w:w="1134"/>
            <w:tcBorders>
              <w:top w:val="single" w:sz="4" w:space="0" w:color="C9BBA6"/>
              <w:left w:val="single" w:sz="4" w:space="0" w:color="C9BBA6"/>
              <w:bottom w:val="single" w:sz="4" w:space="0" w:color="C9BBA6"/>
              <w:right w:val="single" w:sz="4" w:space="0" w:color="C9BBA6"/>
            </w:tcBorders>
          </w:tcPr>
          <w:p>
            <w:r>
              <w:rPr>
                <w:rFonts w:ascii="Aptos" w:hAnsi="Aptos" w:cs="Aptos" w:eastAsia="Aptos"/>
                <w:b w:val="0"/>
                <w:i w:val="0"/>
                <w:color w:val="8C5A2B"/>
                <w:sz w:val="20"/>
              </w:rPr>
              <w:t>☐</w:t>
            </w:r>
          </w:p>
        </w:tc>
        <w:tc>
          <w:tcPr>
            <w:tcW w:type="dxa" w:w="1134"/>
            <w:tcBorders>
              <w:top w:val="single" w:sz="4" w:space="0" w:color="C9BBA6"/>
              <w:left w:val="single" w:sz="4" w:space="0" w:color="C9BBA6"/>
              <w:bottom w:val="single" w:sz="4" w:space="0" w:color="C9BBA6"/>
              <w:right w:val="single" w:sz="4" w:space="0" w:color="C9BBA6"/>
            </w:tcBorders>
          </w:tcPr>
          <w:p>
            <w:r>
              <w:rPr>
                <w:rFonts w:ascii="Aptos" w:hAnsi="Aptos" w:cs="Aptos" w:eastAsia="Aptos"/>
                <w:b w:val="0"/>
                <w:i w:val="0"/>
                <w:color w:val="8C5A2B"/>
                <w:sz w:val="20"/>
              </w:rPr>
              <w:t>☐</w:t>
            </w:r>
          </w:p>
        </w:tc>
        <w:tc>
          <w:tcPr>
            <w:tcW w:type="dxa" w:w="1814"/>
            <w:tcBorders>
              <w:top w:val="single" w:sz="4" w:space="0" w:color="C9BBA6"/>
              <w:left w:val="single" w:sz="4" w:space="0" w:color="C9BBA6"/>
              <w:bottom w:val="single" w:sz="4" w:space="0" w:color="C9BBA6"/>
              <w:right w:val="single" w:sz="4" w:space="0" w:color="C9BBA6"/>
            </w:tcBorders>
          </w:tcPr>
          <w:p>
            <w:r>
              <w:rPr>
                <w:rFonts w:ascii="Aptos" w:hAnsi="Aptos" w:cs="Aptos" w:eastAsia="Aptos"/>
                <w:b w:val="0"/>
                <w:i w:val="0"/>
                <w:color w:val="8C5A2B"/>
                <w:sz w:val="20"/>
              </w:rPr>
              <w:t>☐</w:t>
            </w:r>
          </w:p>
        </w:tc>
      </w:tr>
      <w:tr>
        <w:trPr>
          <w:cantSplit w:val="true"/>
          <w:trHeight w:val="510" w:hRule="atLeast"/>
        </w:trPr>
        <w:tc>
          <w:tcPr>
            <w:tcW w:type="dxa" w:w="2041"/>
            <w:tcBorders>
              <w:top w:val="single" w:sz="4" w:space="0" w:color="C9BBA6"/>
              <w:left w:val="single" w:sz="4" w:space="0" w:color="C9BBA6"/>
              <w:bottom w:val="single" w:sz="4" w:space="0" w:color="C9BBA6"/>
              <w:right w:val="single" w:sz="4" w:space="0" w:color="C9BBA6"/>
            </w:tcBorders>
          </w:tcPr>
          <w:p/>
        </w:tc>
        <w:tc>
          <w:tcPr>
            <w:tcW w:type="dxa" w:w="2041"/>
            <w:tcBorders>
              <w:top w:val="single" w:sz="4" w:space="0" w:color="C9BBA6"/>
              <w:left w:val="single" w:sz="4" w:space="0" w:color="C9BBA6"/>
              <w:bottom w:val="single" w:sz="4" w:space="0" w:color="C9BBA6"/>
              <w:right w:val="single" w:sz="4" w:space="0" w:color="C9BBA6"/>
            </w:tcBorders>
          </w:tcPr>
          <w:p/>
        </w:tc>
        <w:tc>
          <w:tcPr>
            <w:tcW w:type="dxa" w:w="1474"/>
            <w:tcBorders>
              <w:top w:val="single" w:sz="4" w:space="0" w:color="C9BBA6"/>
              <w:left w:val="single" w:sz="4" w:space="0" w:color="C9BBA6"/>
              <w:bottom w:val="single" w:sz="4" w:space="0" w:color="C9BBA6"/>
              <w:right w:val="single" w:sz="4" w:space="0" w:color="C9BBA6"/>
            </w:tcBorders>
          </w:tcPr>
          <w:p/>
        </w:tc>
        <w:tc>
          <w:tcPr>
            <w:tcW w:type="dxa" w:w="1134"/>
            <w:tcBorders>
              <w:top w:val="single" w:sz="4" w:space="0" w:color="C9BBA6"/>
              <w:left w:val="single" w:sz="4" w:space="0" w:color="C9BBA6"/>
              <w:bottom w:val="single" w:sz="4" w:space="0" w:color="C9BBA6"/>
              <w:right w:val="single" w:sz="4" w:space="0" w:color="C9BBA6"/>
            </w:tcBorders>
          </w:tcPr>
          <w:p>
            <w:r>
              <w:rPr>
                <w:rFonts w:ascii="Aptos" w:hAnsi="Aptos" w:cs="Aptos" w:eastAsia="Aptos"/>
                <w:b w:val="0"/>
                <w:i w:val="0"/>
                <w:color w:val="8C5A2B"/>
                <w:sz w:val="20"/>
              </w:rPr>
              <w:t>☐</w:t>
            </w:r>
          </w:p>
        </w:tc>
        <w:tc>
          <w:tcPr>
            <w:tcW w:type="dxa" w:w="1134"/>
            <w:tcBorders>
              <w:top w:val="single" w:sz="4" w:space="0" w:color="C9BBA6"/>
              <w:left w:val="single" w:sz="4" w:space="0" w:color="C9BBA6"/>
              <w:bottom w:val="single" w:sz="4" w:space="0" w:color="C9BBA6"/>
              <w:right w:val="single" w:sz="4" w:space="0" w:color="C9BBA6"/>
            </w:tcBorders>
          </w:tcPr>
          <w:p>
            <w:r>
              <w:rPr>
                <w:rFonts w:ascii="Aptos" w:hAnsi="Aptos" w:cs="Aptos" w:eastAsia="Aptos"/>
                <w:b w:val="0"/>
                <w:i w:val="0"/>
                <w:color w:val="8C5A2B"/>
                <w:sz w:val="20"/>
              </w:rPr>
              <w:t>☐</w:t>
            </w:r>
          </w:p>
        </w:tc>
        <w:tc>
          <w:tcPr>
            <w:tcW w:type="dxa" w:w="1814"/>
            <w:tcBorders>
              <w:top w:val="single" w:sz="4" w:space="0" w:color="C9BBA6"/>
              <w:left w:val="single" w:sz="4" w:space="0" w:color="C9BBA6"/>
              <w:bottom w:val="single" w:sz="4" w:space="0" w:color="C9BBA6"/>
              <w:right w:val="single" w:sz="4" w:space="0" w:color="C9BBA6"/>
            </w:tcBorders>
          </w:tcPr>
          <w:p>
            <w:r>
              <w:rPr>
                <w:rFonts w:ascii="Aptos" w:hAnsi="Aptos" w:cs="Aptos" w:eastAsia="Aptos"/>
                <w:b w:val="0"/>
                <w:i w:val="0"/>
                <w:color w:val="8C5A2B"/>
                <w:sz w:val="20"/>
              </w:rPr>
              <w:t>☐</w:t>
            </w:r>
          </w:p>
        </w:tc>
      </w:tr>
      <w:tr>
        <w:trPr>
          <w:cantSplit w:val="true"/>
          <w:trHeight w:val="510" w:hRule="atLeast"/>
        </w:trPr>
        <w:tc>
          <w:tcPr>
            <w:tcW w:type="dxa" w:w="2041"/>
            <w:tcBorders>
              <w:top w:val="single" w:sz="4" w:space="0" w:color="C9BBA6"/>
              <w:left w:val="single" w:sz="4" w:space="0" w:color="C9BBA6"/>
              <w:bottom w:val="single" w:sz="4" w:space="0" w:color="C9BBA6"/>
              <w:right w:val="single" w:sz="4" w:space="0" w:color="C9BBA6"/>
            </w:tcBorders>
          </w:tcPr>
          <w:p/>
        </w:tc>
        <w:tc>
          <w:tcPr>
            <w:tcW w:type="dxa" w:w="2041"/>
            <w:tcBorders>
              <w:top w:val="single" w:sz="4" w:space="0" w:color="C9BBA6"/>
              <w:left w:val="single" w:sz="4" w:space="0" w:color="C9BBA6"/>
              <w:bottom w:val="single" w:sz="4" w:space="0" w:color="C9BBA6"/>
              <w:right w:val="single" w:sz="4" w:space="0" w:color="C9BBA6"/>
            </w:tcBorders>
          </w:tcPr>
          <w:p/>
        </w:tc>
        <w:tc>
          <w:tcPr>
            <w:tcW w:type="dxa" w:w="1474"/>
            <w:tcBorders>
              <w:top w:val="single" w:sz="4" w:space="0" w:color="C9BBA6"/>
              <w:left w:val="single" w:sz="4" w:space="0" w:color="C9BBA6"/>
              <w:bottom w:val="single" w:sz="4" w:space="0" w:color="C9BBA6"/>
              <w:right w:val="single" w:sz="4" w:space="0" w:color="C9BBA6"/>
            </w:tcBorders>
          </w:tcPr>
          <w:p/>
        </w:tc>
        <w:tc>
          <w:tcPr>
            <w:tcW w:type="dxa" w:w="1134"/>
            <w:tcBorders>
              <w:top w:val="single" w:sz="4" w:space="0" w:color="C9BBA6"/>
              <w:left w:val="single" w:sz="4" w:space="0" w:color="C9BBA6"/>
              <w:bottom w:val="single" w:sz="4" w:space="0" w:color="C9BBA6"/>
              <w:right w:val="single" w:sz="4" w:space="0" w:color="C9BBA6"/>
            </w:tcBorders>
          </w:tcPr>
          <w:p>
            <w:r>
              <w:rPr>
                <w:rFonts w:ascii="Aptos" w:hAnsi="Aptos" w:cs="Aptos" w:eastAsia="Aptos"/>
                <w:b w:val="0"/>
                <w:i w:val="0"/>
                <w:color w:val="8C5A2B"/>
                <w:sz w:val="20"/>
              </w:rPr>
              <w:t>☐</w:t>
            </w:r>
          </w:p>
        </w:tc>
        <w:tc>
          <w:tcPr>
            <w:tcW w:type="dxa" w:w="1134"/>
            <w:tcBorders>
              <w:top w:val="single" w:sz="4" w:space="0" w:color="C9BBA6"/>
              <w:left w:val="single" w:sz="4" w:space="0" w:color="C9BBA6"/>
              <w:bottom w:val="single" w:sz="4" w:space="0" w:color="C9BBA6"/>
              <w:right w:val="single" w:sz="4" w:space="0" w:color="C9BBA6"/>
            </w:tcBorders>
          </w:tcPr>
          <w:p>
            <w:r>
              <w:rPr>
                <w:rFonts w:ascii="Aptos" w:hAnsi="Aptos" w:cs="Aptos" w:eastAsia="Aptos"/>
                <w:b w:val="0"/>
                <w:i w:val="0"/>
                <w:color w:val="8C5A2B"/>
                <w:sz w:val="20"/>
              </w:rPr>
              <w:t>☐</w:t>
            </w:r>
          </w:p>
        </w:tc>
        <w:tc>
          <w:tcPr>
            <w:tcW w:type="dxa" w:w="1814"/>
            <w:tcBorders>
              <w:top w:val="single" w:sz="4" w:space="0" w:color="C9BBA6"/>
              <w:left w:val="single" w:sz="4" w:space="0" w:color="C9BBA6"/>
              <w:bottom w:val="single" w:sz="4" w:space="0" w:color="C9BBA6"/>
              <w:right w:val="single" w:sz="4" w:space="0" w:color="C9BBA6"/>
            </w:tcBorders>
          </w:tcPr>
          <w:p>
            <w:r>
              <w:rPr>
                <w:rFonts w:ascii="Aptos" w:hAnsi="Aptos" w:cs="Aptos" w:eastAsia="Aptos"/>
                <w:b w:val="0"/>
                <w:i w:val="0"/>
                <w:color w:val="8C5A2B"/>
                <w:sz w:val="20"/>
              </w:rPr>
              <w:t>☐</w:t>
            </w:r>
          </w:p>
        </w:tc>
      </w:tr>
      <w:tr>
        <w:trPr>
          <w:cantSplit w:val="true"/>
          <w:trHeight w:val="510" w:hRule="atLeast"/>
        </w:trPr>
        <w:tc>
          <w:tcPr>
            <w:tcW w:type="dxa" w:w="2041"/>
            <w:tcBorders>
              <w:top w:val="single" w:sz="4" w:space="0" w:color="C9BBA6"/>
              <w:left w:val="single" w:sz="4" w:space="0" w:color="C9BBA6"/>
              <w:bottom w:val="single" w:sz="4" w:space="0" w:color="C9BBA6"/>
              <w:right w:val="single" w:sz="4" w:space="0" w:color="C9BBA6"/>
            </w:tcBorders>
          </w:tcPr>
          <w:p/>
        </w:tc>
        <w:tc>
          <w:tcPr>
            <w:tcW w:type="dxa" w:w="2041"/>
            <w:tcBorders>
              <w:top w:val="single" w:sz="4" w:space="0" w:color="C9BBA6"/>
              <w:left w:val="single" w:sz="4" w:space="0" w:color="C9BBA6"/>
              <w:bottom w:val="single" w:sz="4" w:space="0" w:color="C9BBA6"/>
              <w:right w:val="single" w:sz="4" w:space="0" w:color="C9BBA6"/>
            </w:tcBorders>
          </w:tcPr>
          <w:p/>
        </w:tc>
        <w:tc>
          <w:tcPr>
            <w:tcW w:type="dxa" w:w="1474"/>
            <w:tcBorders>
              <w:top w:val="single" w:sz="4" w:space="0" w:color="C9BBA6"/>
              <w:left w:val="single" w:sz="4" w:space="0" w:color="C9BBA6"/>
              <w:bottom w:val="single" w:sz="4" w:space="0" w:color="C9BBA6"/>
              <w:right w:val="single" w:sz="4" w:space="0" w:color="C9BBA6"/>
            </w:tcBorders>
          </w:tcPr>
          <w:p/>
        </w:tc>
        <w:tc>
          <w:tcPr>
            <w:tcW w:type="dxa" w:w="1134"/>
            <w:tcBorders>
              <w:top w:val="single" w:sz="4" w:space="0" w:color="C9BBA6"/>
              <w:left w:val="single" w:sz="4" w:space="0" w:color="C9BBA6"/>
              <w:bottom w:val="single" w:sz="4" w:space="0" w:color="C9BBA6"/>
              <w:right w:val="single" w:sz="4" w:space="0" w:color="C9BBA6"/>
            </w:tcBorders>
          </w:tcPr>
          <w:p>
            <w:r>
              <w:rPr>
                <w:rFonts w:ascii="Aptos" w:hAnsi="Aptos" w:cs="Aptos" w:eastAsia="Aptos"/>
                <w:b w:val="0"/>
                <w:i w:val="0"/>
                <w:color w:val="8C5A2B"/>
                <w:sz w:val="20"/>
              </w:rPr>
              <w:t>☐</w:t>
            </w:r>
          </w:p>
        </w:tc>
        <w:tc>
          <w:tcPr>
            <w:tcW w:type="dxa" w:w="1134"/>
            <w:tcBorders>
              <w:top w:val="single" w:sz="4" w:space="0" w:color="C9BBA6"/>
              <w:left w:val="single" w:sz="4" w:space="0" w:color="C9BBA6"/>
              <w:bottom w:val="single" w:sz="4" w:space="0" w:color="C9BBA6"/>
              <w:right w:val="single" w:sz="4" w:space="0" w:color="C9BBA6"/>
            </w:tcBorders>
          </w:tcPr>
          <w:p>
            <w:r>
              <w:rPr>
                <w:rFonts w:ascii="Aptos" w:hAnsi="Aptos" w:cs="Aptos" w:eastAsia="Aptos"/>
                <w:b w:val="0"/>
                <w:i w:val="0"/>
                <w:color w:val="8C5A2B"/>
                <w:sz w:val="20"/>
              </w:rPr>
              <w:t>☐</w:t>
            </w:r>
          </w:p>
        </w:tc>
        <w:tc>
          <w:tcPr>
            <w:tcW w:type="dxa" w:w="1814"/>
            <w:tcBorders>
              <w:top w:val="single" w:sz="4" w:space="0" w:color="C9BBA6"/>
              <w:left w:val="single" w:sz="4" w:space="0" w:color="C9BBA6"/>
              <w:bottom w:val="single" w:sz="4" w:space="0" w:color="C9BBA6"/>
              <w:right w:val="single" w:sz="4" w:space="0" w:color="C9BBA6"/>
            </w:tcBorders>
          </w:tcPr>
          <w:p>
            <w:r>
              <w:rPr>
                <w:rFonts w:ascii="Aptos" w:hAnsi="Aptos" w:cs="Aptos" w:eastAsia="Aptos"/>
                <w:b w:val="0"/>
                <w:i w:val="0"/>
                <w:color w:val="8C5A2B"/>
                <w:sz w:val="20"/>
              </w:rPr>
              <w:t>☐</w:t>
            </w:r>
          </w:p>
        </w:tc>
      </w:tr>
    </w:tbl>
    <w:p>
      <w:pPr>
        <w:keepNext/>
        <w:spacing w:before="160" w:after="60"/>
      </w:pPr>
      <w:r>
        <w:rPr>
          <w:rFonts w:ascii="Aptos" w:hAnsi="Aptos" w:cs="Aptos" w:eastAsia="Aptos"/>
          <w:b/>
          <w:color w:val="8C5A2B"/>
          <w:sz w:val="23"/>
        </w:rPr>
        <w:t>Das sagt man – das sagt man nicht</w:t>
      </w:r>
    </w:p>
    <w:tbl>
      <w:tblPr>
        <w:tblW w:type="auto" w:w="0"/>
        <w:jc w:val="center"/>
        <w:tblLayout w:type="fixed"/>
        <w:tblLook w:firstColumn="1" w:firstRow="1" w:lastColumn="0" w:lastRow="0" w:noHBand="0" w:noVBand="1" w:val="04A0"/>
        <w:tblLayout w:type="fixed"/>
      </w:tblPr>
      <w:tblGrid>
        <w:gridCol w:w="4819"/>
        <w:gridCol w:w="4819"/>
      </w:tblGrid>
      <w:tr>
        <w:trPr>
          <w:tblHeader w:val="true"/>
        </w:trPr>
        <w:tc>
          <w:tcPr>
            <w:tcW w:type="dxa" w:w="4819"/>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Das sagt man</w:t>
            </w:r>
          </w:p>
        </w:tc>
        <w:tc>
          <w:tcPr>
            <w:tcW w:type="dxa" w:w="4819"/>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Das sagt man nicht</w:t>
            </w:r>
          </w:p>
        </w:tc>
      </w:tr>
      <w:tr>
        <w:trPr>
          <w:cantSplit w:val="true"/>
          <w:trHeight w:val="453" w:hRule="atLeast"/>
        </w:trPr>
        <w:tc>
          <w:tcPr>
            <w:tcW w:type="dxa" w:w="481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Lies deine Gefährdungsbeurteilung noch einmal durch</w:t>
            </w:r>
          </w:p>
        </w:tc>
        <w:tc>
          <w:tcPr>
            <w:tcW w:type="dxa" w:w="481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Wenn du etwas nicht weißt, verweise auf die Fachkraft</w:t>
            </w:r>
          </w:p>
        </w:tc>
      </w:tr>
      <w:tr>
        <w:trPr>
          <w:cantSplit w:val="true"/>
          <w:trHeight w:val="453" w:hRule="atLeast"/>
        </w:trPr>
        <w:tc>
          <w:tcPr>
            <w:tcW w:type="dxa" w:w="4819"/>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Wenn du etwas nicht weißt, sag es – das ist eine zulässige Antwort</w:t>
            </w:r>
          </w:p>
        </w:tc>
        <w:tc>
          <w:tcPr>
            <w:tcW w:type="dxa" w:w="4819"/>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Sag auf keinen Fall, dass wir das noch nicht geregelt haben</w:t>
            </w:r>
          </w:p>
        </w:tc>
      </w:tr>
      <w:tr>
        <w:trPr>
          <w:cantSplit w:val="true"/>
          <w:trHeight w:val="453" w:hRule="atLeast"/>
        </w:trPr>
        <w:tc>
          <w:tcPr>
            <w:tcW w:type="dxa" w:w="481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Zeig, wie ihr arbeitet – nicht, wie es im Verfahren steht</w:t>
            </w:r>
          </w:p>
        </w:tc>
        <w:tc>
          <w:tcPr>
            <w:tcW w:type="dxa" w:w="481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Achtet darauf, dass alles ordentlich aussieht</w:t>
            </w:r>
          </w:p>
        </w:tc>
      </w:tr>
      <w:tr>
        <w:trPr>
          <w:cantSplit w:val="true"/>
          <w:trHeight w:val="453" w:hRule="atLeast"/>
        </w:trPr>
        <w:tc>
          <w:tcPr>
            <w:tcW w:type="dxa" w:w="4819"/>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Der Auditor prüft das System, nicht dich</w:t>
            </w:r>
          </w:p>
        </w:tc>
        <w:tc>
          <w:tcPr>
            <w:tcW w:type="dxa" w:w="4819"/>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Wir dürfen uns keine Blöße geben</w:t>
            </w:r>
          </w:p>
        </w:tc>
      </w:tr>
      <w:tr>
        <w:trPr>
          <w:cantSplit w:val="true"/>
          <w:trHeight w:val="453" w:hRule="atLeast"/>
        </w:trPr>
        <w:tc>
          <w:tcPr>
            <w:tcW w:type="dxa" w:w="481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Wenn eine Frage dich überfordert, hol jemanden dazu</w:t>
            </w:r>
          </w:p>
        </w:tc>
        <w:tc>
          <w:tcPr>
            <w:tcW w:type="dxa" w:w="481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Antworte kurz und frag nicht nach</w:t>
            </w:r>
          </w:p>
        </w:tc>
      </w:tr>
      <w:tr>
        <w:trPr>
          <w:cantSplit w:val="true"/>
          <w:trHeight w:val="453" w:hRule="atLeast"/>
        </w:trPr>
        <w:tc>
          <w:tcPr>
            <w:tcW w:type="dxa" w:w="4819"/>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Bekannte Lücken darfst du nennen – wir haben einen Plan dafür</w:t>
            </w:r>
          </w:p>
        </w:tc>
        <w:tc>
          <w:tcPr>
            <w:tcW w:type="dxa" w:w="4819"/>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Über offene Punkte reden wir lieber nicht</w:t>
            </w:r>
          </w:p>
        </w:tc>
      </w:tr>
    </w:tbl>
    <w:p>
      <w:pPr>
        <w:keepNext/>
        <w:spacing w:before="160" w:after="60"/>
      </w:pPr>
      <w:r>
        <w:rPr>
          <w:rFonts w:ascii="Aptos" w:hAnsi="Aptos" w:cs="Aptos" w:eastAsia="Aptos"/>
          <w:b/>
          <w:color w:val="8C5A2B"/>
          <w:sz w:val="23"/>
        </w:rPr>
        <w:t>Nach dem Audit: zwei Kennzahlen</w:t>
      </w:r>
    </w:p>
    <w:tbl>
      <w:tblPr>
        <w:tblW w:type="auto" w:w="0"/>
        <w:jc w:val="center"/>
        <w:tblLayout w:type="fixed"/>
        <w:tblLook w:firstColumn="1" w:firstRow="1" w:lastColumn="0" w:lastRow="0" w:noHBand="0" w:noVBand="1" w:val="04A0"/>
        <w:tblLayout w:type="fixed"/>
      </w:tblPr>
      <w:tblGrid>
        <w:gridCol w:w="6237"/>
        <w:gridCol w:w="1701"/>
        <w:gridCol w:w="1701"/>
      </w:tblGrid>
      <w:tr>
        <w:trPr>
          <w:tblHeader w:val="true"/>
        </w:trPr>
        <w:tc>
          <w:tcPr>
            <w:tcW w:type="dxa" w:w="6236"/>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Kennzahl</w:t>
            </w:r>
          </w:p>
        </w:tc>
        <w:tc>
          <w:tcPr>
            <w:tcW w:type="dxa" w:w="170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Audit am</w:t>
            </w:r>
          </w:p>
        </w:tc>
        <w:tc>
          <w:tcPr>
            <w:tcW w:type="dxa" w:w="170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Wert</w:t>
            </w:r>
          </w:p>
        </w:tc>
      </w:tr>
      <w:tr>
        <w:trPr>
          <w:cantSplit w:val="true"/>
          <w:trHeight w:val="567" w:hRule="atLeast"/>
        </w:trPr>
        <w:tc>
          <w:tcPr>
            <w:tcW w:type="dxa" w:w="6236"/>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Zahl der Feststellungen, die sich nachträglich als sachlich unzutreffend erwiesen (Sollwert: null)</w:t>
            </w:r>
          </w:p>
        </w:tc>
        <w:tc>
          <w:tcPr>
            <w:tcW w:type="dxa" w:w="170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170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r>
      <w:tr>
        <w:trPr>
          <w:cantSplit w:val="true"/>
          <w:trHeight w:val="567" w:hRule="atLeast"/>
        </w:trPr>
        <w:tc>
          <w:tcPr>
            <w:tcW w:type="dxa" w:w="6236"/>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Anteil der Fragen, die aus den Bereichen selbst beantwortet wurden</w:t>
            </w:r>
          </w:p>
        </w:tc>
        <w:tc>
          <w:tcPr>
            <w:tcW w:type="dxa" w:w="170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c>
          <w:tcPr>
            <w:tcW w:type="dxa" w:w="170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r>
    </w:tbl>
    <w:p>
      <w:r>
        <w:rPr>
          <w:rFonts w:ascii="Aptos" w:hAnsi="Aptos" w:cs="Aptos" w:eastAsia="Aptos"/>
          <w:b w:val="0"/>
          <w:i/>
          <w:color w:val="7A6A55"/>
          <w:sz w:val="17"/>
        </w:rPr>
        <w:t>Beide sagen mehr über die Vorbereitung als über den Auditor.</w:t>
      </w:r>
    </w:p>
    <w:p>
      <w:pPr>
        <w:keepNext/>
        <w:spacing w:before="160" w:after="60"/>
      </w:pPr>
      <w:r>
        <w:rPr>
          <w:rFonts w:ascii="Aptos" w:hAnsi="Aptos" w:cs="Aptos" w:eastAsia="Aptos"/>
          <w:b/>
          <w:color w:val="8C5A2B"/>
          <w:sz w:val="23"/>
        </w:rPr>
        <w:t>Was diese Vorlage nicht ist</w:t>
      </w:r>
    </w:p>
    <w:p>
      <w:pPr>
        <w:jc w:val="both"/>
      </w:pPr>
      <w:r>
        <w:rPr>
          <w:rFonts w:ascii="Aptos" w:hAnsi="Aptos" w:cs="Aptos" w:eastAsia="Aptos"/>
          <w:b w:val="0"/>
          <w:i w:val="0"/>
          <w:sz w:val="19"/>
        </w:rPr>
        <w:t>Diese Vorlage ersetzt weder die Norm noch eine Rechtsberatung, kein Audit und keine Gefährdungsbeurteilung des konkreten Hauses – und sie nimmt dem Urteil der Zertifizierungsstelle nichts vorweg. Die Antwortmuster sind Beispiele für den Ton, keine Sprechzettel und keine Gewähr für ein bestimmtes Ergebnis. Rechte und Pflichten aus dem Zertifizierungsvertrag und das Beschwerde- und Einspruchsverfahren richten sich nach den Unterlagen Ihrer Stelle; zu Mitbestimmung und Datenschutz gilt im Einzelfall die jeweils gültige Fassung der Gesetze, im Zweifel ist fachkundiger Rat einzuholen.</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s="Aptos" w:eastAsia="Aptos"/>
        <w:color w:val="7A6A55"/>
        <w:sz w:val="16"/>
      </w:rPr>
      <w:t xml:space="preserve">Das Steuer und die Lupe · Band 3b · ISO 45001 · buecher.effedore.com  ·  Seite </w:t>
    </w:r>
    <w:r>
      <w:rPr>
        <w:rFonts w:ascii="Aptos" w:hAnsi="Aptos" w:cs="Aptos" w:eastAsia="Aptos"/>
        <w:color w:val="7A6A55"/>
        <w:sz w:val="16"/>
      </w:rPr>
      <w:fldChar w:fldCharType="begin"/>
      <w:instrText xml:space="preserve"> PAGE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ptos" w:hAnsi="Aptos" w:eastAsia="Aptos"/>
      <w:color w:val="2B2B2B"/>
      <w:sz w:val="21"/>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