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4.9 DES BANDES 3B</w:t>
      </w:r>
    </w:p>
    <w:p>
      <w:pPr>
        <w:spacing w:after="60"/>
        <w:pBdr>
          <w:bottom w:val="single" w:sz="8" w:space="4" w:color="C9BBA6"/>
        </w:pBdr>
      </w:pPr>
      <w:r>
        <w:rPr>
          <w:rFonts w:ascii="Aptos" w:hAnsi="Aptos" w:cs="Aptos" w:eastAsia="Aptos"/>
          <w:b/>
          <w:color w:val="8C5A2B"/>
          <w:sz w:val="42"/>
        </w:rPr>
        <w:t>Einreichungsschema für Abweichungen</w:t>
      </w:r>
    </w:p>
    <w:p>
      <w:pPr>
        <w:spacing w:before="80" w:after="200"/>
      </w:pPr>
      <w:r>
        <w:rPr>
          <w:rFonts w:ascii="Aptos" w:hAnsi="Aptos" w:cs="Aptos" w:eastAsia="Aptos"/>
          <w:i/>
          <w:color w:val="7A6A55"/>
          <w:sz w:val="21"/>
        </w:rPr>
        <w:t>Antworten, wonach gefragt wurde — nicht das, was Sie behoben haben</w:t>
      </w:r>
    </w:p>
    <w:p>
      <w:r>
        <w:rPr>
          <w:rFonts w:ascii="Aptos" w:hAnsi="Aptos" w:cs="Aptos" w:eastAsia="Aptos"/>
          <w:b w:val="0"/>
          <w:i w:val="0"/>
          <w:color w:val="7A6A55"/>
          <w:sz w:val="19"/>
        </w:rPr>
        <w:t>Bezug im Buch: Abschnitt 4.9 (mit 3.11, 4.8 und 4.10); Norm: Klausel 10.2 der ISO 45001:2018.</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pPr>
            <w:r>
              <w:rPr>
                <w:rFonts w:ascii="Aptos" w:hAnsi="Aptos" w:cs="Aptos" w:eastAsia="Aptos"/>
                <w:b w:val="0"/>
                <w:i w:val="0"/>
                <w:sz w:val="20"/>
              </w:rPr>
              <w:t>Ein Denkgerüst für den Blick, kein Formular zum Ablegen. Eine Abweichung ist eine Feststellung mit einer Einstufung, einer Frist und einem Verfahren. Häuser scheitern selten an der Abweichung selbst, sondern daran, dass sie einreichen, was sie behoben haben, statt dessen, wonach gefragt wurde. Das Schema hält die vier Teile bereit, die die Stelle erwartet; es ersetzt weder Ihre Ursachenanalyse noch die Vorgaben Ihrer Zertifizierungsstelle. Was Sie ohnehin intern erstellen (Abschnitt 3.11), reichen Sie ein.</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Die vier Teile, nach denen die Stelle fragt</w:t>
      </w:r>
    </w:p>
    <w:tbl>
      <w:tblPr>
        <w:tblW w:type="auto" w:w="0"/>
        <w:jc w:val="center"/>
        <w:tblLayout w:type="fixed"/>
        <w:tblLook w:firstColumn="1" w:firstRow="1" w:lastColumn="0" w:lastRow="0" w:noHBand="0" w:noVBand="1" w:val="04A0"/>
      </w:tblPr>
      <w:tblGrid>
        <w:gridCol w:w="2041"/>
        <w:gridCol w:w="3855"/>
        <w:gridCol w:w="3742"/>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Teil</w:t>
            </w:r>
          </w:p>
        </w:tc>
        <w:tc>
          <w:tcPr>
            <w:tcW w:type="dxa" w:w="385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Was hineingehört</w:t>
            </w:r>
          </w:p>
        </w:tc>
        <w:tc>
          <w:tcPr>
            <w:tcW w:type="dxa" w:w="374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Der typische Fehler</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9"/>
              </w:rPr>
              <w:t>1  Korrektur</w:t>
            </w:r>
          </w:p>
        </w:tc>
        <w:tc>
          <w:tcPr>
            <w:tcW w:type="dxa" w:w="385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Was sofort getan wurde, um den Zustand zu beheben</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Sie wird eingereicht und für alles Übrige gehalten</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9"/>
              </w:rPr>
              <w:t>2  Ursachenanalyse</w:t>
            </w:r>
          </w:p>
        </w:tc>
        <w:tc>
          <w:tcPr>
            <w:tcW w:type="dxa" w:w="385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Warum es dazu kam — zwei bis fünf Sätze, mit den Beteiligten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Fehlt ganz oder besteht aus einer Wiederholung des Sachverhalts</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9"/>
              </w:rPr>
              <w:t>3  Korrekturmaßnahme</w:t>
            </w:r>
          </w:p>
        </w:tc>
        <w:tc>
          <w:tcPr>
            <w:tcW w:type="dxa" w:w="385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Was die Ursache beseitigt, mit Termin und Verantwortlichem</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Ist identisch mit der Korrektur oder lautet «Unterweisung»</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9"/>
              </w:rPr>
              <w:t>4  Nachweis und Umfang</w:t>
            </w:r>
          </w:p>
        </w:tc>
        <w:tc>
          <w:tcPr>
            <w:tcW w:type="dxa" w:w="385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Beleg der Umsetzung plus Aussage zu gleichartigen Fällen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Der zweite Halbsatz fehlt — er wird am häufigsten vergessen</w:t>
            </w:r>
          </w:p>
        </w:tc>
      </w:tr>
    </w:tbl>
    <w:p>
      <w:pPr>
        <w:spacing w:after="40"/>
      </w:pPr>
      <w:r>
        <w:rPr>
          <w:rFonts w:ascii="Aptos" w:hAnsi="Aptos" w:cs="Aptos" w:eastAsia="Aptos"/>
          <w:b w:val="0"/>
          <w:i w:val="0"/>
          <w:sz w:val="19"/>
        </w:rPr>
        <w:t>Die Aussage «wir haben geprüft, ob dasselbe in anderen Bereichen besteht, und in zwei Fällen dasselbe gefunden und behoben» verwandelt eine Abweichung in einen Beleg dafür, dass das System arbeitet. Die Prüfung gleichartiger Fälle verlangt die Norm ausdrücklich (10.2).</w:t>
      </w:r>
    </w:p>
    <w:p>
      <w:pPr>
        <w:keepNext/>
        <w:pageBreakBefore w:val="0"/>
        <w:spacing w:before="280" w:after="80"/>
        <w:pBdr>
          <w:bottom w:val="single" w:sz="6" w:space="2" w:color="C9BBA6"/>
        </w:pBdr>
      </w:pPr>
      <w:r>
        <w:rPr>
          <w:rFonts w:ascii="Aptos" w:hAnsi="Aptos" w:cs="Aptos" w:eastAsia="Aptos"/>
          <w:b/>
          <w:color w:val="8C5A2B"/>
          <w:sz w:val="28"/>
        </w:rPr>
        <w:t>Einstufung — und was von der Zertifizierungsentscheidung abhängt</w:t>
      </w:r>
    </w:p>
    <w:tbl>
      <w:tblPr>
        <w:tblW w:type="auto" w:w="0"/>
        <w:jc w:val="center"/>
        <w:tblLayout w:type="fixed"/>
        <w:tblLook w:firstColumn="1" w:firstRow="1" w:lastColumn="0" w:lastRow="0" w:noHBand="0" w:noVBand="1" w:val="04A0"/>
      </w:tblPr>
      <w:tblGrid>
        <w:gridCol w:w="2041"/>
        <w:gridCol w:w="3969"/>
        <w:gridCol w:w="3628"/>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Einstufung</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sie bedeutet</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sie auslöst</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Schwerwiegende Abweichung</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Anforderung ist nicht erfüllt, das System versagt an dieser Stelle oder es bestehen erhebliche Zweifel an der Wirksamkeit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Umsetzung muss vor der Zertifizierungsentscheidung nachgewiesen werden; häufig ein Nachaudit</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Geringfügige Abweichung</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Eine Anforderung ist teilweise nicht erfüllt; ein Einzelfall ohne Systemversagen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Plan und Nachweis in gesetzter Frist; Prüfung meist im nächsten Audit</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Beobachtung / Hinweis</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Kein Verstoß, aber eine Stelle, die sich zur Abweichung entwickeln kann</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Keine Pflicht — sie steht im Bericht und kündigt an</w:t>
            </w:r>
          </w:p>
        </w:tc>
      </w:tr>
      <w:tr>
        <w:trPr>
          <w:cantSplit w:val="true"/>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Verbesserungspotenzial</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Eine Anregung ohne normativen Bezug</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Keine Pflicht; nicht mit einer Anforderung verwechseln</w:t>
            </w:r>
          </w:p>
        </w:tc>
      </w:tr>
    </w:tbl>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Zertifizierungsentscheidung. </w:t>
      </w:r>
      <w:r>
        <w:rPr>
          <w:rFonts w:ascii="Aptos" w:hAnsi="Aptos" w:cs="Aptos" w:eastAsia="Aptos"/>
          <w:b w:val="0"/>
          <w:i w:val="0"/>
        </w:rPr>
        <w:t>Ob eine Überprüfung der Beseitigung anhand von Unterlagen genügt oder ein Nachaudit nötig ist, entscheidet die Stelle nach Art der Abweichung. Der Entscheider, der nicht am Audit beteiligt war, entscheidet erst, wenn die schwerwiegenden Abweichungen geprüft und akzeptiert sind und für geringfügige ein akzeptierter Plan vorliegt (Abschnitt 4.10).</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Wenn die Maßnahme Zeit braucht. </w:t>
      </w:r>
      <w:r>
        <w:rPr>
          <w:rFonts w:ascii="Aptos" w:hAnsi="Aptos" w:cs="Aptos" w:eastAsia="Aptos"/>
          <w:b w:val="0"/>
          <w:i w:val="0"/>
        </w:rPr>
        <w:t>Ein Plan mit belastbarem Termin innerhalb der Frist genügt, wo die richtige Maßnahme länger braucht. Ausnahme: schwerwiegende Abweichungen im Erstzertifizierungsverfahren — dort ist die Beseitigung vor der Entscheidung nachzuweisen; eine wirksame Übergangsmaßnahme wird umgesetzt und nachgewiesen, die endgültige verbindlich mit Termin zugesagt.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Im laufenden Zyklus. </w:t>
      </w:r>
      <w:r>
        <w:rPr>
          <w:rFonts w:ascii="Aptos" w:hAnsi="Aptos" w:cs="Aptos" w:eastAsia="Aptos"/>
          <w:b w:val="0"/>
          <w:i w:val="0"/>
        </w:rPr>
        <w:t>Bleibt eine schwerwiegende Abweichung ungelöst, kann die Stelle das Zertifikat aussetzen oder zurückziehen; während einer Aussetzung darf es nicht verwendet werden.</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Haupt- und Nebenabweichung. </w:t>
      </w:r>
      <w:r>
        <w:rPr>
          <w:rFonts w:ascii="Aptos" w:hAnsi="Aptos" w:cs="Aptos" w:eastAsia="Aptos"/>
          <w:b w:val="0"/>
          <w:i w:val="0"/>
        </w:rPr>
        <w:t>Die Einstufung hängt nicht an der Größe des Sachverhalts, sondern daran, ob das System an dieser Stelle versagt. Mehrere geringfügige Befunde begründen eine schwerwiegende Nichtkonformität nur bei nachgewiesenem systemischem Versagen, nicht durch bloßes Zählen.</w:t>
      </w:r>
    </w:p>
    <w:p>
      <w:pPr>
        <w:keepNext/>
        <w:pageBreakBefore w:val="0"/>
        <w:spacing w:before="280" w:after="80"/>
        <w:pBdr>
          <w:bottom w:val="single" w:sz="6" w:space="2" w:color="C9BBA6"/>
        </w:pBdr>
      </w:pPr>
      <w:r>
        <w:rPr>
          <w:rFonts w:ascii="Aptos" w:hAnsi="Aptos" w:cs="Aptos" w:eastAsia="Aptos"/>
          <w:b/>
          <w:color w:val="8C5A2B"/>
          <w:sz w:val="28"/>
        </w:rPr>
        <w:t>Die Frist — setzt die Stelle, nicht das Buch</w:t>
      </w:r>
    </w:p>
    <w:p>
      <w:r>
        <w:rPr>
          <w:rFonts w:ascii="Aptos" w:hAnsi="Aptos" w:cs="Aptos" w:eastAsia="Aptos"/>
          <w:b w:val="0"/>
          <w:i w:val="0"/>
          <w:sz w:val="20"/>
        </w:rPr>
        <w:t>Der Band nennt keine Zahl von Tagen: Die Frist setzt die Stelle (im Beispiel unten war der vierzigste Tag kein Maßstab). Gesichert sind nur die Regeln:</w:t>
      </w:r>
    </w:p>
    <w:p>
      <w:pPr>
        <w:spacing w:after="50"/>
        <w:ind w:left="340" w:hanging="227"/>
      </w:pPr>
      <w:r>
        <w:rPr>
          <w:rFonts w:ascii="Aptos" w:hAnsi="Aptos" w:cs="Aptos" w:eastAsia="Aptos"/>
          <w:b/>
          <w:i w:val="0"/>
          <w:color w:val="8C5A2B"/>
        </w:rPr>
        <w:t xml:space="preserve">•  </w:t>
      </w:r>
      <w:r>
        <w:rPr>
          <w:rFonts w:ascii="Aptos" w:hAnsi="Aptos" w:cs="Aptos" w:eastAsia="Aptos"/>
          <w:b w:val="0"/>
          <w:i w:val="0"/>
        </w:rPr>
        <w:t>Die Uhr läuft ab dem letzten Audittag, nicht ab Eingang des Berichts.</w:t>
      </w:r>
    </w:p>
    <w:p>
      <w:pPr>
        <w:spacing w:after="50"/>
        <w:ind w:left="340" w:hanging="227"/>
      </w:pPr>
      <w:r>
        <w:rPr>
          <w:rFonts w:ascii="Aptos" w:hAnsi="Aptos" w:cs="Aptos" w:eastAsia="Aptos"/>
          <w:b/>
          <w:i w:val="0"/>
          <w:color w:val="8C5A2B"/>
        </w:rPr>
        <w:t xml:space="preserve">•  </w:t>
      </w:r>
      <w:r>
        <w:rPr>
          <w:rFonts w:ascii="Aptos" w:hAnsi="Aptos" w:cs="Aptos" w:eastAsia="Aptos"/>
          <w:b w:val="0"/>
          <w:i w:val="0"/>
        </w:rPr>
        <w:t>Die Frist hat in der Regel zwei Stufen: Einreichung des Plans, Nachweis der Umsetzung. Wer die erste verpasst, verliert die zweite gleich mit.</w:t>
      </w:r>
    </w:p>
    <w:p>
      <w:pPr>
        <w:spacing w:after="50"/>
        <w:ind w:left="340" w:hanging="227"/>
      </w:pPr>
      <w:r>
        <w:rPr>
          <w:rFonts w:ascii="Aptos" w:hAnsi="Aptos" w:cs="Aptos" w:eastAsia="Aptos"/>
          <w:b/>
          <w:i w:val="0"/>
          <w:color w:val="8C5A2B"/>
        </w:rPr>
        <w:t xml:space="preserve">•  </w:t>
      </w:r>
      <w:r>
        <w:rPr>
          <w:rFonts w:ascii="Aptos" w:hAnsi="Aptos" w:cs="Aptos" w:eastAsia="Aptos"/>
          <w:b w:val="0"/>
          <w:i w:val="0"/>
        </w:rPr>
        <w:t>Eine begründete Verlängerung ist möglich und muss vor Ablauf beantragt werden — danach nicht mehr.</w:t>
      </w:r>
    </w:p>
    <w:p>
      <w:pPr>
        <w:spacing w:after="50"/>
        <w:ind w:left="340" w:hanging="227"/>
      </w:pPr>
      <w:r>
        <w:rPr>
          <w:rFonts w:ascii="Aptos" w:hAnsi="Aptos" w:cs="Aptos" w:eastAsia="Aptos"/>
          <w:b/>
          <w:i w:val="0"/>
          <w:color w:val="8C5A2B"/>
        </w:rPr>
        <w:t xml:space="preserve">•  </w:t>
      </w:r>
      <w:r>
        <w:rPr>
          <w:rFonts w:ascii="Aptos" w:hAnsi="Aptos" w:cs="Aptos" w:eastAsia="Aptos"/>
          <w:b w:val="0"/>
          <w:i w:val="0"/>
        </w:rPr>
        <w:t>Einspruch, Klarstellung oder Beschwerde stehen offen, entbinden aber nicht: Die Bearbeitung läuft parallel weiter.</w:t>
      </w:r>
    </w:p>
    <w:p>
      <w:pPr>
        <w:spacing w:after="60"/>
      </w:pP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Letzter Audittag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Einstufung (je Abweichung)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Frist Stufe 1: Plan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Frist Stufe 2: Nachweis</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Vorwarnung (zwei Wochen davor)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Verlängerung beantragt am</w:t>
            </w:r>
          </w:p>
        </w:tc>
        <w:tc>
          <w:tcPr>
            <w:tcW w:type="dxa" w:w="3005"/>
            <w:tcBorders>
              <w:bottom w:val="single" w:sz="6" w:space="0" w:color="C9BBA6"/>
            </w:tcBorders>
          </w:tcPr>
          <w:p>
            <w:pPr>
              <w:spacing w:after="20"/>
            </w:pPr>
          </w:p>
        </w:tc>
      </w:tr>
    </w:tbl>
    <w:p>
      <w:r>
        <w:rPr>
          <w:rFonts w:ascii="Aptos" w:hAnsi="Aptos" w:cs="Aptos" w:eastAsia="Aptos"/>
          <w:b w:val="0"/>
          <w:i/>
          <w:color w:val="7A6A55"/>
          <w:sz w:val="17"/>
        </w:rPr>
        <w:t>Die Fristen aus dem Abschlussgespräch gehören am selben Tag in den Kalender, mit einer Vorwarnung zwei Wochen davor (Abschnitt 4.9, operative Synthese).</w:t>
      </w:r>
    </w:p>
    <w:p>
      <w:pPr>
        <w:keepNext/>
        <w:pageBreakBefore w:val="0"/>
        <w:spacing w:before="280" w:after="80"/>
        <w:pBdr>
          <w:bottom w:val="single" w:sz="6" w:space="2" w:color="C9BBA6"/>
        </w:pBdr>
      </w:pPr>
      <w:r>
        <w:rPr>
          <w:rFonts w:ascii="Aptos" w:hAnsi="Aptos" w:cs="Aptos" w:eastAsia="Aptos"/>
          <w:b/>
          <w:color w:val="8C5A2B"/>
          <w:sz w:val="28"/>
        </w:rPr>
        <w:t>Merkzettel für den Kalender — der Zeitplan nach dem Audit</w:t>
      </w:r>
    </w:p>
    <w:tbl>
      <w:tblPr>
        <w:tblW w:type="auto" w:w="0"/>
        <w:jc w:val="center"/>
        <w:tblLayout w:type="fixed"/>
        <w:tblLook w:firstColumn="1" w:firstRow="1" w:lastColumn="0" w:lastRow="0" w:noHBand="0" w:noVBand="1" w:val="04A0"/>
      </w:tblPr>
      <w:tblGrid>
        <w:gridCol w:w="1587"/>
        <w:gridCol w:w="4309"/>
        <w:gridCol w:w="2381"/>
        <w:gridCol w:w="1361"/>
      </w:tblGrid>
      <w:tr>
        <w:trPr>
          <w:tblHeader w:val="true"/>
        </w:trPr>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Zeitpunkt</w:t>
            </w:r>
          </w:p>
        </w:tc>
        <w:tc>
          <w:tcPr>
            <w:tcW w:type="dxa" w:w="430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geschieht</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 im Haus</w:t>
            </w:r>
          </w:p>
        </w:tc>
        <w:tc>
          <w:tcPr>
            <w:tcW w:type="dxa" w:w="13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Datum</w:t>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Letzter Audittag</w:t>
            </w:r>
          </w:p>
        </w:tc>
        <w:tc>
          <w:tcPr>
            <w:tcW w:type="dxa" w:w="430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Feststellungen im Abschlussgespräch, Fristen genannt; Wortlaut mitschreiben</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Direktion, Fachkraft, Bereichsleitungen</w:t>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Tag 1 bis 3</w:t>
            </w:r>
          </w:p>
        </w:tc>
        <w:tc>
          <w:tcPr>
            <w:tcW w:type="dxa" w:w="430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Sofortmaßnahmen und Korrekturen, wo unmittelbare Gefahr besteht</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Bereiche</w:t>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Erste Woche</w:t>
            </w:r>
          </w:p>
        </w:tc>
        <w:tc>
          <w:tcPr>
            <w:tcW w:type="dxa" w:w="430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Ursachenanalyse mit den Beteiligten je Abweichung</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Bereich, Fachkraft, Betroffene</w:t>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Zweite Woche</w:t>
            </w:r>
          </w:p>
        </w:tc>
        <w:tc>
          <w:tcPr>
            <w:tcW w:type="dxa" w:w="430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Korrekturmaßnahmen festlegen, Termine und Verantwortliche</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Leitung, wo Mittel nötig sind</w:t>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Vor Fristablauf</w:t>
            </w:r>
          </w:p>
        </w:tc>
        <w:tc>
          <w:tcPr>
            <w:tcW w:type="dxa" w:w="430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Einreichung der vier Teile bei der Stelle</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Fachkraft</w:t>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Nach Rückmeldung</w:t>
            </w:r>
          </w:p>
        </w:tc>
        <w:tc>
          <w:tcPr>
            <w:tcW w:type="dxa" w:w="430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Ergänzungen oder Annahme; bei schwerwiegender ggf. Nachaudit</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Fachkraft</w:t>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Nach Annahme</w:t>
            </w:r>
          </w:p>
        </w:tc>
        <w:tc>
          <w:tcPr>
            <w:tcW w:type="dxa" w:w="430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Wirksamkeitsprüfung im eigenen Verfahren — unabhängig von der Stelle, durch eine andere Person als die umsetzende</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Interner Auditor</w:t>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r>
        <w:rPr>
          <w:rFonts w:ascii="Aptos" w:hAnsi="Aptos" w:cs="Aptos" w:eastAsia="Aptos"/>
          <w:b w:val="0"/>
          <w:i w:val="0"/>
          <w:sz w:val="19"/>
        </w:rPr>
        <w:t>Die Stelle prüft die Umsetzung, nicht die dauerhafte Wirkung; die bleibt Sache des Hauses. Eine extern geschlossene und intern nie nachgeprüfte Abweichung kehrt im nächsten Zyklus als Wiederholung zurück. Extern festgestellte Punkte gehören als fester Punkt in die Leitungsrunde, mit Frist und Verantwortlichem.</w:t>
      </w:r>
    </w:p>
    <w:p>
      <w:pPr>
        <w:keepNext/>
        <w:pageBreakBefore/>
        <w:spacing w:before="280" w:after="80"/>
        <w:pBdr>
          <w:bottom w:val="single" w:sz="6" w:space="2" w:color="C9BBA6"/>
        </w:pBdr>
      </w:pPr>
      <w:r>
        <w:rPr>
          <w:rFonts w:ascii="Aptos" w:hAnsi="Aptos" w:cs="Aptos" w:eastAsia="Aptos"/>
          <w:b/>
          <w:color w:val="8C5A2B"/>
          <w:sz w:val="28"/>
        </w:rPr>
        <w:t>Der Einreichungsbogen — eine Seite je Abweichung</w:t>
      </w:r>
    </w:p>
    <w:p>
      <w:r>
        <w:rPr>
          <w:rFonts w:ascii="Aptos" w:hAnsi="Aptos" w:cs="Aptos" w:eastAsia="Aptos"/>
          <w:b w:val="0"/>
          <w:i w:val="0"/>
          <w:sz w:val="19"/>
        </w:rPr>
        <w:t>Wer mehr schreibt, erschwert der Stelle die Prüfung; wer weniger schreibt, bekommt Rückfragen. Eine knappe, vollständige Einreichung wird schneller angenommen als eine ausführliche, in der ein Teil fehlt. Nennen Sie keine Namen von Personen als Ursache.</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Abweichung Nr.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Einstufung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Klausel</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Frist (Stufe 1)</w:t>
            </w:r>
          </w:p>
        </w:tc>
        <w:tc>
          <w:tcPr>
            <w:tcW w:type="dxa" w:w="3005"/>
            <w:tcBorders>
              <w:bottom w:val="single" w:sz="6" w:space="0" w:color="C9BBA6"/>
            </w:tcBorders>
          </w:tcPr>
          <w:p>
            <w:pPr>
              <w:spacing w:after="20"/>
            </w:pPr>
          </w:p>
        </w:tc>
      </w:tr>
    </w:tbl>
    <w:p>
      <w:pPr>
        <w:spacing w:after="4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Bezug  —  Nummer der Abweichung, Klausel, Wortlaut der Feststellung (zwei Zeilen)</w:t>
            </w:r>
          </w:p>
        </w:tc>
      </w:tr>
      <w:tr>
        <w:trPr>
          <w:cantSplit w:val="true"/>
          <w:trHeight w:val="907"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Korrektur  —  Was sofort getan wurde, mit Datum (zwei bis drei Sätze)</w:t>
            </w:r>
          </w:p>
        </w:tc>
      </w:tr>
      <w:tr>
        <w:trPr>
          <w:cantSplit w:val="true"/>
          <w:trHeight w:val="1134"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Ursachenanalyse  —  Warum es dazu kam, mit Beteiligten (zwei bis fünf Sätze)</w:t>
            </w:r>
          </w:p>
        </w:tc>
      </w:tr>
      <w:tr>
        <w:trPr>
          <w:cantSplit w:val="true"/>
          <w:trHeight w:val="1587"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Korrekturmaßnahme  —  Was die Ursache beseitigt, Stufe der Rangfolge, Termin, Verantwortlicher (drei bis fünf Sätze)</w:t>
            </w:r>
          </w:p>
        </w:tc>
      </w:tr>
      <w:tr>
        <w:trPr>
          <w:cantSplit w:val="true"/>
          <w:trHeight w:val="1587"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Gleichartige Fälle  —  Wo geprüft, was gefunden, was daraus folgte (zwei bis drei Sätze)</w:t>
            </w:r>
          </w:p>
        </w:tc>
      </w:tr>
      <w:tr>
        <w:trPr>
          <w:cantSplit w:val="true"/>
          <w:trHeight w:val="1134"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Nachweise  —  Anlagen, benannt und datiert (Liste)</w:t>
            </w:r>
          </w:p>
        </w:tc>
      </w:tr>
      <w:tr>
        <w:trPr>
          <w:cantSplit w:val="true"/>
          <w:trHeight w:val="907"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20"/>
      </w:pPr>
    </w:p>
    <w:tbl>
      <w:tblPr>
        <w:tblW w:type="auto" w:w="0"/>
        <w:jc w:val="center"/>
        <w:tblLayout w:type="fixed"/>
        <w:tblLook w:firstColumn="1" w:firstRow="1" w:lastColumn="0" w:lastRow="0" w:noHBand="0" w:noVBand="1" w:val="04A0"/>
      </w:tblPr>
      <w:tblGrid>
        <w:gridCol w:w="9638"/>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Wirksamkeitsprüfung  —  Wann und durch wen sie erfolgt (ein Satz)</w:t>
            </w:r>
          </w:p>
        </w:tc>
      </w:tr>
      <w:tr>
        <w:trPr>
          <w:cantSplit w:val="true"/>
          <w:trHeight w:val="680" w:hRule="atLeast"/>
        </w:trPr>
        <w:tc>
          <w:tcPr>
            <w:tcW w:type="dxa" w:w="96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keepNext/>
        <w:pageBreakBefore/>
        <w:spacing w:before="280" w:after="80"/>
        <w:pBdr>
          <w:bottom w:val="single" w:sz="6" w:space="2" w:color="C9BBA6"/>
        </w:pBdr>
      </w:pPr>
      <w:r>
        <w:rPr>
          <w:rFonts w:ascii="Aptos" w:hAnsi="Aptos" w:cs="Aptos" w:eastAsia="Aptos"/>
          <w:b/>
          <w:color w:val="8C5A2B"/>
          <w:sz w:val="28"/>
        </w:rPr>
        <w:t>Hilfsblatt: die Ursache in einer Stunde</w:t>
      </w:r>
    </w:p>
    <w:p>
      <w:r>
        <w:rPr>
          <w:rFonts w:ascii="Aptos" w:hAnsi="Aptos" w:cs="Aptos" w:eastAsia="Aptos"/>
          <w:b w:val="0"/>
          <w:i w:val="0"/>
          <w:sz w:val="20"/>
        </w:rPr>
        <w:t>Der Teil, der am häufigsten fehlt, dauert eine Stunde, wenn man ihn richtig anlegt — in einer Besprechung mit drei Personen. Fragen Sie den Betrieb, nicht die Person: «Was müsste anders sein, damit es geht?» Kreuzen Sie an, was zutrifft; meistens trifft mehr als eines zu.</w:t>
      </w:r>
    </w:p>
    <w:tbl>
      <w:tblPr>
        <w:tblW w:type="auto" w:w="0"/>
        <w:jc w:val="center"/>
        <w:tblLayout w:type="fixed"/>
        <w:tblLook w:firstColumn="1" w:firstRow="1" w:lastColumn="0" w:lastRow="0" w:noHBand="0" w:noVBand="1" w:val="04A0"/>
      </w:tblPr>
      <w:tblGrid>
        <w:gridCol w:w="510"/>
        <w:gridCol w:w="3175"/>
        <w:gridCol w:w="3175"/>
        <w:gridCol w:w="2778"/>
      </w:tblGrid>
      <w:tr>
        <w:trPr>
          <w:tblHeader w:val="true"/>
        </w:trPr>
        <w:tc>
          <w:tcPr>
            <w:tcW w:type="dxa" w:w="51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Frage</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sie aufdeckt</w:t>
            </w:r>
          </w:p>
        </w:tc>
        <w:tc>
          <w:tcPr>
            <w:tcW w:type="dxa" w:w="277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Notiz</w:t>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Stand die Anforderung in einem Verfahren des Hauses?</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häufigste Ursache: Sie stand nirgends</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Stand sie in einem Kalender?</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zweithäufigste: Sie hatte keinen Termin</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War jemand namentlich dafür zuständig?</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dritthäufigste: Sie gehörte niemandem</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Wurde sie mit etwas anderem verwechselt?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Klassiker: Bewertung der Einhaltung und internes Audit</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Gab es sie einmal und ist sie eingeschlafen?</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Dann liegt die Ursache in der Nachverfolgung</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23"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Fehlten Mittel, Zeit oder Befugnis?</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Dann liegt sie bei der Leitung, nicht im Bereich</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spacing w:after="40"/>
      </w:pPr>
      <w:r>
        <w:rPr>
          <w:rFonts w:ascii="Aptos" w:hAnsi="Aptos" w:cs="Aptos" w:eastAsia="Aptos"/>
          <w:b w:val="0"/>
          <w:i w:val="0"/>
          <w:sz w:val="19"/>
        </w:rPr>
        <w:t>Was dabei nicht herauskommen darf, ist ein Name. Eine Ursachenanalyse, die auf eine Person zeigt, ist im externen Verfahren so wenig brauchbar wie im internen.</w:t>
      </w:r>
    </w:p>
    <w:p>
      <w:pPr>
        <w:keepNext/>
        <w:spacing w:before="160" w:after="60"/>
      </w:pPr>
      <w:r>
        <w:rPr>
          <w:rFonts w:ascii="Aptos" w:hAnsi="Aptos" w:cs="Aptos" w:eastAsia="Aptos"/>
          <w:b/>
          <w:color w:val="8C5A2B"/>
          <w:sz w:val="23"/>
        </w:rPr>
        <w:t>Wenn die richtige Maßnahme länger braucht als die Frist</w:t>
      </w:r>
    </w:p>
    <w:tbl>
      <w:tblPr>
        <w:tblW w:type="auto" w:w="0"/>
        <w:tblLayout w:type="fixed"/>
        <w:tblLook w:firstColumn="1" w:firstRow="1" w:lastColumn="0" w:lastRow="0" w:noHBand="0" w:noVBand="1" w:val="04A0"/>
      </w:tblPr>
      <w:tblGrid>
        <w:gridCol w:w="4819"/>
        <w:gridCol w:w="4819"/>
      </w:tblGrid>
      <w:tr>
        <w:tc>
          <w:tcPr>
            <w:tcW w:type="dxa" w:w="1474"/>
          </w:tcPr>
          <w:p>
            <w:pPr>
              <w:spacing w:after="20"/>
            </w:pPr>
            <w:r>
              <w:rPr>
                <w:rFonts w:ascii="Aptos" w:hAnsi="Aptos" w:cs="Aptos" w:eastAsia="Aptos"/>
                <w:b/>
                <w:i w:val="0"/>
                <w:color w:val="8C5A2B"/>
                <w:sz w:val="19"/>
              </w:rPr>
              <w:t>Übergangsmaßnahme (wirkt sofort, befristet bis)</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Endgültige Maßnahme mit Termin über die Frist hinaus</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Wer entscheidet (Ebene mit Budget)</w:t>
            </w:r>
          </w:p>
        </w:tc>
        <w:tc>
          <w:tcPr>
            <w:tcW w:type="dxa" w:w="1928"/>
            <w:tcBorders>
              <w:bottom w:val="single" w:sz="6" w:space="0" w:color="C9BBA6"/>
            </w:tcBorders>
          </w:tcPr>
          <w:p>
            <w:pPr>
              <w:spacing w:after="20"/>
            </w:pPr>
          </w:p>
        </w:tc>
      </w:tr>
    </w:tbl>
    <w:p>
      <w:r>
        <w:rPr>
          <w:rFonts w:ascii="Aptos" w:hAnsi="Aptos" w:cs="Aptos" w:eastAsia="Aptos"/>
          <w:b w:val="0"/>
          <w:i/>
          <w:color w:val="7A6A55"/>
          <w:sz w:val="17"/>
        </w:rPr>
        <w:t>Eingehalten werden muss der Termin für die Einreichung; danach zählt die Einhaltung des selbst gesetzten Umsetzungstermins, den die Stelle im nächsten Audit prüft.</w:t>
      </w:r>
    </w:p>
    <w:p>
      <w:pPr>
        <w:keepNext/>
        <w:spacing w:before="160" w:after="60"/>
      </w:pPr>
      <w:r>
        <w:rPr>
          <w:rFonts w:ascii="Aptos" w:hAnsi="Aptos" w:cs="Aptos" w:eastAsia="Aptos"/>
          <w:b/>
          <w:color w:val="8C5A2B"/>
          <w:sz w:val="23"/>
        </w:rPr>
        <w:t>Vor dem Absenden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Alle vier Teile sind enthalten — insbesondere die Ursachenanalyse und die Aussage zu gleichartigen Fällen.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Die Ursachenanalyse beantwortet «warum» und wiederholt nicht den Sachverhalt; sie nennt keine Person.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Die Korrekturmaßnahme ist nicht mit der Korrektur identisch und lautet nicht nur «Unterweisung».</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Eine Seite je Abweichung; Anlagen benannt und datiert; Einreichung vor Fristablauf.</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Wortlaut der Feststellung an die betroffene Bereichsleitung gegeben (nicht nur eine Zusammenfassung).</w:t>
      </w:r>
    </w:p>
    <w:p>
      <w:pPr>
        <w:keepNext/>
        <w:spacing w:before="160" w:after="60"/>
      </w:pPr>
      <w:r>
        <w:rPr>
          <w:rFonts w:ascii="Aptos" w:hAnsi="Aptos" w:cs="Aptos" w:eastAsia="Aptos"/>
          <w:b/>
          <w:color w:val="8C5A2B"/>
          <w:sz w:val="23"/>
        </w:rPr>
        <w:t>Wer im Haus was erfahren sollte</w:t>
      </w:r>
    </w:p>
    <w:tbl>
      <w:tblPr>
        <w:tblW w:type="auto" w:w="0"/>
        <w:jc w:val="center"/>
        <w:tblLayout w:type="fixed"/>
        <w:tblLook w:firstColumn="1" w:firstRow="1" w:lastColumn="0" w:lastRow="0" w:noHBand="0" w:noVBand="1" w:val="04A0"/>
      </w:tblPr>
      <w:tblGrid>
        <w:gridCol w:w="3402"/>
        <w:gridCol w:w="6236"/>
      </w:tblGrid>
      <w:tr>
        <w:trPr>
          <w:tblHeader w:val="true"/>
        </w:trPr>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w:t>
            </w:r>
          </w:p>
        </w:tc>
        <w:tc>
          <w:tcPr>
            <w:tcW w:type="dxa" w:w="62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er erfahren sollte</w:t>
            </w:r>
          </w:p>
        </w:tc>
      </w:tr>
      <w:tr>
        <w:trPr>
          <w:cantSplit w:val="true"/>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Betroffene Bereichsleitung</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Wortlaut, Klausel, Ursache, Maßnahme, Termin</w:t>
            </w:r>
          </w:p>
        </w:tc>
      </w:tr>
      <w:tr>
        <w:trPr>
          <w:cantSplit w:val="true"/>
        </w:trPr>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Übrige Bereichsleitungen</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Sachverhalt und Frage nach gleichartigen Fällen</w:t>
            </w:r>
          </w:p>
        </w:tc>
      </w:tr>
      <w:tr>
        <w:trPr>
          <w:cantSplit w:val="true"/>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Leitungsrunde</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Alle Feststellungen, Fristen, Mittelbedarf</w:t>
            </w:r>
          </w:p>
        </w:tc>
      </w:tr>
      <w:tr>
        <w:trPr>
          <w:cantSplit w:val="true"/>
        </w:trPr>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Vertretung der Beschäftigten; Belegschaft des Bereichs</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Feststellungen und Maßnahmen; was gefunden wurde und was sich ändert</w:t>
            </w:r>
          </w:p>
        </w:tc>
      </w:tr>
      <w:tr>
        <w:trPr>
          <w:cantSplit w:val="true"/>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Beschäftigte, die befragt wurden</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Dass ihre Auskunft zu etwas geführt hat — zwei Sätze, sobald der Bericht vorliegt</w:t>
            </w:r>
          </w:p>
        </w:tc>
      </w:tr>
    </w:tbl>
    <w:p>
      <w:pPr>
        <w:keepNext/>
        <w:pageBreakBefore/>
        <w:spacing w:before="280" w:after="80"/>
        <w:pBdr>
          <w:bottom w:val="single" w:sz="6" w:space="2" w:color="C9BBA6"/>
        </w:pBdr>
      </w:pPr>
      <w:r>
        <w:rPr>
          <w:rFonts w:ascii="Aptos" w:hAnsi="Aptos" w:cs="Aptos" w:eastAsia="Aptos"/>
          <w:b/>
          <w:color w:val="8C5A2B"/>
          <w:sz w:val="28"/>
        </w:rPr>
        <w:t>Beispiel aus dem Band (Abschnitt 4.9, Haus in Schwerin)</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Beispiel</w:t>
            </w:r>
          </w:p>
          <w:p>
            <w:pPr>
              <w:spacing w:after="40"/>
            </w:pPr>
            <w:r>
              <w:rPr>
                <w:rFonts w:ascii="Aptos" w:hAnsi="Aptos" w:cs="Aptos" w:eastAsia="Aptos"/>
                <w:b w:val="0"/>
                <w:i w:val="0"/>
                <w:sz w:val="20"/>
              </w:rPr>
              <w:t>Vier-Sterne-Haus, 140 Zimmer, Stage-2-Audit mit vier Feststellungen (drei geringfügige, eine schwerwiegende): Die Bewertung der Einhaltung hat nie stattgefunden. Die erste Einreichung (nur die nachgeholte Bewertung) wurde zurückgewiesen; die zweite folgte dem Bogen. Die Angaben stammen aus dem Band; Anlagen, Fristen und Wirksamkeitsprüfung nennt der Band nicht.</w:t>
            </w:r>
          </w:p>
        </w:tc>
      </w:tr>
    </w:tbl>
    <w:p>
      <w:pPr>
        <w:spacing w:after="40"/>
      </w:pPr>
    </w:p>
    <w:tbl>
      <w:tblPr>
        <w:tblW w:type="auto" w:w="0"/>
        <w:jc w:val="center"/>
        <w:tblLayout w:type="fixed"/>
        <w:tblLook w:firstColumn="1" w:firstRow="1" w:lastColumn="0" w:lastRow="0" w:noHBand="0" w:noVBand="1" w:val="04A0"/>
      </w:tblPr>
      <w:tblGrid>
        <w:gridCol w:w="2154"/>
        <w:gridCol w:w="7483"/>
      </w:tblGrid>
      <w:tr>
        <w:trPr>
          <w:tblHeader w:val="true"/>
        </w:trPr>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Feld</w:t>
            </w:r>
          </w:p>
        </w:tc>
        <w:tc>
          <w:tcPr>
            <w:tcW w:type="dxa" w:w="748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Beispiel (aus dem Band)</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Bezug</w:t>
            </w:r>
          </w:p>
        </w:tc>
        <w:tc>
          <w:tcPr>
            <w:tcW w:type="dxa" w:w="748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Schwerwiegend: Bewertung der Einhaltung hat nie stattgefunden (Klausel: vom Haus einzutragen)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Korrektur</w:t>
            </w:r>
          </w:p>
        </w:tc>
        <w:tc>
          <w:tcPr>
            <w:tcW w:type="dxa" w:w="748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Bewertung der Einhaltung durchgeführt: je Rechtsgebiet eine Aussage, mit Datum, mit Ergebnis, mit den zwei Punkten, die dabei auffielen (in drei Wochen)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Ursachenanalyse</w:t>
            </w:r>
          </w:p>
        </w:tc>
        <w:tc>
          <w:tcPr>
            <w:tcW w:type="dxa" w:w="748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Bewertung der Einhaltung stand in keinem Verfahren, in keinem Kalender und bei niemandem als Aufgabe; sie wurde für einen Teil des internen Audits gehalten.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Korrekturmaßnahme</w:t>
            </w:r>
          </w:p>
        </w:tc>
        <w:tc>
          <w:tcPr>
            <w:tcW w:type="dxa" w:w="748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Eigener Termin zweimal jährlich im Jahreskalender, der Fachkraft namentlich zugeordnet, eigenes Ergebnisdokument, fester Tagesordnungspunkt der Managementbewertung.</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Gleichartige Fälle</w:t>
            </w:r>
          </w:p>
        </w:tc>
        <w:tc>
          <w:tcPr>
            <w:tcW w:type="dxa" w:w="748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Geprüft, welche anderen Anforderungen der Norm in keinem Verfahren und keinem Kalender stehen: zwei weitere gefunden (Notfallübung, Überprüfung der Kompetenzanforderungen), beide in denselben Kalender aufgenommen.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Nachweise / Wirksamkeitsprüfung</w:t>
            </w:r>
          </w:p>
        </w:tc>
        <w:tc>
          <w:tcPr>
            <w:tcW w:type="dxa" w:w="748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(vom Haus: Anlagen benannt und datiert; wann und durch wen geprüft wird)</w:t>
            </w:r>
          </w:p>
        </w:tc>
      </w:tr>
    </w:tbl>
    <w:p>
      <w:pPr>
        <w:keepNext/>
        <w:spacing w:before="160" w:after="60"/>
      </w:pPr>
      <w:r>
        <w:rPr>
          <w:rFonts w:ascii="Aptos" w:hAnsi="Aptos" w:cs="Aptos" w:eastAsia="Aptos"/>
          <w:b/>
          <w:color w:val="8C5A2B"/>
          <w:sz w:val="23"/>
        </w:rPr>
        <w:t>Beispiel: erste und zweite Einreichung</w:t>
      </w:r>
    </w:p>
    <w:tbl>
      <w:tblPr>
        <w:tblW w:type="auto" w:w="0"/>
        <w:jc w:val="center"/>
        <w:tblLayout w:type="fixed"/>
        <w:tblLook w:firstColumn="1" w:firstRow="1" w:lastColumn="0" w:lastRow="0" w:noHBand="0" w:noVBand="1" w:val="04A0"/>
      </w:tblPr>
      <w:tblGrid>
        <w:gridCol w:w="2154"/>
        <w:gridCol w:w="3061"/>
        <w:gridCol w:w="4422"/>
      </w:tblGrid>
      <w:tr>
        <w:trPr>
          <w:tblHeader w:val="true"/>
        </w:trPr>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Erste Einreichung</w:t>
            </w:r>
          </w:p>
        </w:tc>
        <w:tc>
          <w:tcPr>
            <w:tcW w:type="dxa" w:w="442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Zweite Einreichung</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Inhalt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durchgeführte Bewertung</w:t>
            </w:r>
          </w:p>
        </w:tc>
        <w:tc>
          <w:tcPr>
            <w:tcW w:type="dxa" w:w="442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Vier Teile nach Vorgabe</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Ursachenanalyse</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fehlte</w:t>
            </w:r>
          </w:p>
        </w:tc>
        <w:tc>
          <w:tcPr>
            <w:tcW w:type="dxa" w:w="442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drei Sätze, mit Beteiligten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Korrekturmaßnahme</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identisch mit der Korrektur</w:t>
            </w:r>
          </w:p>
        </w:tc>
        <w:tc>
          <w:tcPr>
            <w:tcW w:type="dxa" w:w="442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Kalender, Zuordnung, Ergebnisdokument, Tagesordnung</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Gleichartige Fälle</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nicht geprüft</w:t>
            </w:r>
          </w:p>
        </w:tc>
        <w:tc>
          <w:tcPr>
            <w:tcW w:type="dxa" w:w="442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zwei weitere gefunden und aufgenommen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Umfang</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 Bericht mit Anlagen</w:t>
            </w:r>
          </w:p>
        </w:tc>
        <w:tc>
          <w:tcPr>
            <w:tcW w:type="dxa" w:w="442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Seite mit Anlagen</w:t>
            </w:r>
          </w:p>
        </w:tc>
      </w:tr>
      <w:tr>
        <w:trPr>
          <w:cantSplit w:val="true"/>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Ergebnis</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zurückgewiesen</w:t>
            </w:r>
          </w:p>
        </w:tc>
        <w:tc>
          <w:tcPr>
            <w:tcW w:type="dxa" w:w="442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angenommen (zwei Monate Verzögerung der Entscheidung durch die erste Runde)</w:t>
            </w:r>
          </w:p>
        </w:tc>
      </w:tr>
    </w:tbl>
    <w:p>
      <w:r>
        <w:rPr>
          <w:rFonts w:ascii="Aptos" w:hAnsi="Aptos" w:cs="Aptos" w:eastAsia="Aptos"/>
          <w:b w:val="0"/>
          <w:i w:val="0"/>
          <w:sz w:val="19"/>
        </w:rPr>
        <w:t>Was eingereicht wurde und was verlangt war — ein Prüfstein: «Wir haben die Bewertung der Einhaltung durchgeführt» beantwortet nicht, warum sie vier Jahre lang nicht stattgefunden hat; «Der Mitarbeiter wurde unterwiesen» nicht, warum die Unterweisung gefehlt hat oder nicht gewirkt hat; «Der Fluchtweg wurde geräumt» nicht, warum dort gelagert wurde und wo das sonst noch geschieht.</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Dieses Schema ersetzt weder die Norm noch eine Rechtsberatung, kein Audit und keine Ursachenanalyse des konkreten Falls, und es nimmt das Urteil der Zertifizierungsstelle nicht vorweg. Fristen, Einstufungen, Form und Verfahren legt die Zertifizierungsstelle in ihrem Regelwerk fest; die Vorlage nennt keine Fristen. Verbindlich ist die jeweils gültige Fassung von Gesetz und Norm. Maßgeblich ist die geltende ISO 45001:2018 (national EN ISO 45001:2023, mit Amd 1:2024); ein Entwurf (ISO/DIS 45001) ist nicht bindend.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