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b w:val="0"/>
          <w:i w:val="0"/>
          <w:color w:val="8C5A2B"/>
          <w:sz w:val="18"/>
        </w:rPr>
        <w:t>Das Steuer und die Lupe · Band 6a · ISO 22000 — Arbeitsmaterial zu Abschnitt</w:t>
      </w:r>
    </w:p>
    <w:p w14:paraId="3E406DDA" w14:textId="77777777" w:rsidR="002B7A23" w:rsidRDefault="00000000">
      <w:pPr>
        <w:pStyle w:val="Titolo2"/>
        <w:spacing w:after="200" w:line="340" w:lineRule="auto"/>
      </w:pPr>
      <w:bookmarkStart w:id="7" w:name="_Toc241934037"/>
      <w:bookmarkStart w:id="8" w:name="_Toc241939306"/>
      <w:r>
        <w:lastRenderedPageBreak/>
        <w:t>1.3 Interessierte Parteien: wer noch am Tisch sitzt</w:t>
      </w:r>
      <w:bookmarkEnd w:id="7"/>
      <w:bookmarkEnd w:id="8"/>
    </w:p>
    <w:p>
      <w:r>
        <w:rPr>
          <w:b w:val="0"/>
          <w:i/>
          <w:sz w:val="18"/>
        </w:rPr>
        <w:t>Bearbeitbare Fassung des Arbeitsmaterials aus dem Buch: Fragen in ihrer Reihenfolge, Grund jeder Frage, Hinweis auf Verlangtes und Methode. Die Vorlage ersetzt keine Methode; jedes Haus bringt seine Antworten in sein eigenes Format.</w:t>
      </w:r>
    </w:p>
    <w:p w14:paraId="709F6EE8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Praktische Anwendung: die Parteien einer Hotelküche in sieben Schritten bestimmen</w:t>
      </w:r>
    </w:p>
    <w:p w14:paraId="2F6EAF2C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1. Die Verträge einsammeln.</w:t>
      </w:r>
      <w:r>
        <w:rPr>
          <w:color w:val="1A1A1A"/>
        </w:rPr>
        <w:t xml:space="preserve"> Lassen Sie sich aus Verkauf, Bankett, Einkauf, Direktion und Versicherung jeden laufenden Vertrag geben, in dem Verpflegung, Hygiene, Allergene oder Lebensmittel vorkommen.</w:t>
      </w:r>
    </w:p>
    <w:p w14:paraId="4442EC3F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2. Die Sätze herausschreiben.</w:t>
      </w:r>
      <w:r>
        <w:rPr>
          <w:color w:val="1A1A1A"/>
        </w:rPr>
        <w:t xml:space="preserve"> Notieren Sie jede Anforderung einzeln, mit Vertrag, Anhang und Ziffer.</w:t>
      </w:r>
    </w:p>
    <w:p w14:paraId="566E0EBE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3. Die Art der Bindung bestimmen.</w:t>
      </w:r>
      <w:r>
        <w:rPr>
          <w:color w:val="1A1A1A"/>
        </w:rPr>
        <w:t xml:space="preserve"> Gesetz, Vertrag oder Erwartung. Bei Erwartungen: Entscheidung treffen und mit Datum festhalten.</w:t>
      </w:r>
    </w:p>
    <w:p w14:paraId="57387167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4. Den Empfänger benennen.</w:t>
      </w:r>
      <w:r>
        <w:rPr>
          <w:color w:val="1A1A1A"/>
        </w:rPr>
        <w:t xml:space="preserve"> Ein Name, bei dem künftig jede Lebensmittelklausel vor der Unterschrift ankommt.</w:t>
      </w:r>
    </w:p>
    <w:p w14:paraId="2B636937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5. Den Ort im System suchen.</w:t>
      </w:r>
      <w:r>
        <w:rPr>
          <w:color w:val="1A1A1A"/>
        </w:rPr>
        <w:t xml:space="preserve"> Für jede Anforderung: Wo ist sie im Betrieb angekommen? Karte, Kasse, Ablauf, Schulung, Nachtschicht.</w:t>
      </w:r>
    </w:p>
    <w:p w14:paraId="1FC832EE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6. Die Sichtbarkeit prüfen.</w:t>
      </w:r>
      <w:r>
        <w:rPr>
          <w:color w:val="1A1A1A"/>
        </w:rPr>
        <w:t xml:space="preserve"> Ist die Eigenschaft des Gastes, an der die Anforderung hängt, dort zu sehen, wo bestellt und serviert wird?</w:t>
      </w:r>
    </w:p>
    <w:p w14:paraId="5E56A708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7. Den Anlass festlegen.</w:t>
      </w:r>
      <w:r>
        <w:rPr>
          <w:color w:val="1A1A1A"/>
        </w:rPr>
        <w:t xml:space="preserve"> Jeder neue oder geänderte Vertrag löst eine Prüfung der Liste aus, nicht der Kalender.</w:t>
      </w:r>
    </w:p>
    <w:p w14:paraId="3D52BE31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lastRenderedPageBreak/>
        <w:t>Prüf-Checkliste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24"/>
        <w:gridCol w:w="1156"/>
        <w:gridCol w:w="1156"/>
      </w:tblGrid>
      <w:tr w:rsidR="002B7A23" w14:paraId="72328483" w14:textId="77777777">
        <w:trPr>
          <w:tblHeader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A5720F0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Frage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B97676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Ja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A67FBC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Nein</w:t>
            </w:r>
          </w:p>
        </w:tc>
      </w:tr>
      <w:tr w:rsidR="002B7A23" w14:paraId="658430AD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7128E8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Nennt unsere Liste Parteien mit Namen statt Gattungen?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DF28B1D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CCFA89C" w14:textId="77777777" w:rsidR="002B7A23" w:rsidRDefault="002B7A23">
            <w:pPr>
              <w:spacing w:line="260" w:lineRule="auto"/>
            </w:pPr>
          </w:p>
        </w:tc>
      </w:tr>
      <w:tr w:rsidR="002B7A23" w14:paraId="686916D3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B4C4C0B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Steht bei jeder Anforderung, wo sie geschrieben ist?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90E0AC0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ABF4FE7" w14:textId="77777777" w:rsidR="002B7A23" w:rsidRDefault="002B7A23">
            <w:pPr>
              <w:spacing w:line="260" w:lineRule="auto"/>
            </w:pPr>
          </w:p>
        </w:tc>
      </w:tr>
      <w:tr w:rsidR="002B7A23" w14:paraId="34847CEE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9D888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Ist bei jeder Anforderung vermerkt, ob sie durch Gesetz, Vertrag oder gar nicht bindet?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08C5248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23D4B73" w14:textId="77777777" w:rsidR="002B7A23" w:rsidRDefault="002B7A23">
            <w:pPr>
              <w:spacing w:line="260" w:lineRule="auto"/>
            </w:pPr>
          </w:p>
        </w:tc>
      </w:tr>
      <w:tr w:rsidR="002B7A23" w14:paraId="6279E269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9B97D91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Sieht die Küche jeden Vertrag mit einer Lebensmittelklausel vor der Unterschrift?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C130BFA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1BF49AA" w14:textId="77777777" w:rsidR="002B7A23" w:rsidRDefault="002B7A23">
            <w:pPr>
              <w:spacing w:line="260" w:lineRule="auto"/>
            </w:pPr>
          </w:p>
        </w:tc>
      </w:tr>
      <w:tr w:rsidR="002B7A23" w14:paraId="27E1E7F3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8EFC64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Erreichen Vertragsänderungen per E-Mail denselben Empfänger?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197C1AF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5EE0926" w14:textId="77777777" w:rsidR="002B7A23" w:rsidRDefault="002B7A23">
            <w:pPr>
              <w:spacing w:line="260" w:lineRule="auto"/>
            </w:pPr>
          </w:p>
        </w:tc>
      </w:tr>
      <w:tr w:rsidR="002B7A23" w14:paraId="7727AC29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08C136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Kennt die Nachtschicht jede Meldefrist, die das Haus unterschrieben hat?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8D0D36C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E4BA5E2" w14:textId="77777777" w:rsidR="002B7A23" w:rsidRDefault="002B7A23">
            <w:pPr>
              <w:spacing w:line="260" w:lineRule="auto"/>
            </w:pPr>
          </w:p>
        </w:tc>
      </w:tr>
      <w:tr w:rsidR="002B7A23" w14:paraId="1698C936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80491A9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Sind Gäste mit besonderen vertraglichen Anforderungen an der Kasse erkennbar?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254E878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E6728E6" w14:textId="77777777" w:rsidR="002B7A23" w:rsidRDefault="002B7A23">
            <w:pPr>
              <w:spacing w:line="260" w:lineRule="auto"/>
            </w:pPr>
          </w:p>
        </w:tc>
      </w:tr>
      <w:tr w:rsidR="002B7A23" w14:paraId="52029552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E6BE54B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Ist für jede Empfehlung aus einem Kundenaudit eine Entscheidung festgehalten?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C4875CB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DBB6D9" w14:textId="77777777" w:rsidR="002B7A23" w:rsidRDefault="002B7A23">
            <w:pPr>
              <w:spacing w:line="260" w:lineRule="auto"/>
            </w:pPr>
          </w:p>
        </w:tc>
      </w:tr>
    </w:tbl>
    <w:p w14:paraId="4827599C" w14:textId="77777777" w:rsidR="002B7A23" w:rsidRDefault="002B7A23">
      <w:pPr>
        <w:spacing w:after="140"/>
      </w:pPr>
    </w:p>
    <w:p w14:paraId="28A581F3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Häufige Fehler</w:t>
      </w:r>
    </w:p>
    <w:p w14:paraId="70771DAB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Gattungen statt Parteien auflisten.</w:t>
      </w:r>
      <w:r>
        <w:rPr>
          <w:color w:val="1A1A1A"/>
        </w:rPr>
        <w:t xml:space="preserve"> «Gäste» und «Behörden» stehen in jeder Liste und helfen in keiner.</w:t>
      </w:r>
    </w:p>
    <w:p w14:paraId="24BA1385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Den Vertrag im Verkauf lassen.</w:t>
      </w:r>
      <w:r>
        <w:rPr>
          <w:color w:val="1A1A1A"/>
        </w:rPr>
        <w:t xml:space="preserve"> Die Anforderung ist dann unterschrieben und unbekannt.</w:t>
      </w:r>
    </w:p>
    <w:p w14:paraId="118BAC76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Erwartungen wie Pflichten behandeln.</w:t>
      </w:r>
      <w:r>
        <w:rPr>
          <w:color w:val="1A1A1A"/>
        </w:rPr>
        <w:t xml:space="preserve"> Das System verspricht dann mehr, als es halten kann.</w:t>
      </w:r>
    </w:p>
    <w:p w14:paraId="3663E7DC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Pflichten wie Erwartungen behandeln.</w:t>
      </w:r>
      <w:r>
        <w:rPr>
          <w:color w:val="1A1A1A"/>
        </w:rPr>
        <w:t xml:space="preserve"> Der Vertragsbruch fällt erst auf, wenn der Kunde ihn bemerkt.</w:t>
      </w:r>
    </w:p>
    <w:p w14:paraId="31C2B738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Die Nachtschicht vergessen.</w:t>
      </w:r>
      <w:r>
        <w:rPr>
          <w:color w:val="1A1A1A"/>
        </w:rPr>
        <w:t xml:space="preserve"> Meldefristen laufen auch um drei Uhr.</w:t>
      </w:r>
    </w:p>
    <w:p w14:paraId="15FBA016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Änderungen per E-Mail ablegen.</w:t>
      </w:r>
      <w:r>
        <w:rPr>
          <w:color w:val="1A1A1A"/>
        </w:rPr>
        <w:t xml:space="preserve"> Eine Ergänzung des Anhangs ist eine neue Anforderung.</w:t>
      </w:r>
    </w:p>
    <w:p w14:paraId="71391D11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lastRenderedPageBreak/>
        <w:t>Modellrechnung</w:t>
      </w:r>
    </w:p>
    <w:p w14:paraId="371D1468" w14:textId="77777777" w:rsidR="002B7A23" w:rsidRDefault="00000000">
      <w:pPr>
        <w:keepNext/>
        <w:spacing w:before="160" w:after="90"/>
      </w:pPr>
      <w:r>
        <w:rPr>
          <w:b/>
          <w:bCs/>
          <w:color w:val="5A5A5A"/>
          <w:sz w:val="18"/>
          <w:szCs w:val="18"/>
        </w:rPr>
        <w:t>Modellannahme, kein belegter Branchenwert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2313"/>
        <w:gridCol w:w="2504"/>
      </w:tblGrid>
      <w:tr w:rsidR="002B7A23" w14:paraId="77C03A3C" w14:textId="77777777">
        <w:trPr>
          <w:tblHeader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1A49DB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Posten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445232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Betrag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122FC9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Anmerkung</w:t>
            </w:r>
          </w:p>
        </w:tc>
      </w:tr>
      <w:tr w:rsidR="002B7A23" w14:paraId="2E2B4D2A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48718B1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Jahreswert des Besatzungsvertrags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DCB12BE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1.200.000 €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9AF810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38 Zimmer je Nacht</w:t>
            </w:r>
          </w:p>
        </w:tc>
      </w:tr>
      <w:tr w:rsidR="002B7A23" w14:paraId="12654762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E3C0572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Durchsicht aller Verträge, einmalig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FA9C14D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24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E698D79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Küchenchef und Verkauf</w:t>
            </w:r>
          </w:p>
        </w:tc>
      </w:tr>
      <w:tr w:rsidR="002B7A23" w14:paraId="688320C1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7027B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Anpassung der Restaurantkasse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3B031EE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1.800 €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7855E0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0D27B696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8C76AA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Kühlung und Etiketten für die Boxen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CB11678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2.400 €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B7FB11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66927845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7945230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Unterweisung der Nachtschicht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021D009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6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369F84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jährlich</w:t>
            </w:r>
          </w:p>
        </w:tc>
      </w:tr>
    </w:tbl>
    <w:p w14:paraId="1C1CEFCC" w14:textId="77777777" w:rsidR="002B7A23" w:rsidRDefault="002B7A23">
      <w:pPr>
        <w:spacing w:after="140"/>
      </w:pPr>
    </w:p>
    <w:p>
      <w:r>
        <w:rPr>
          <w:b w:val="0"/>
          <w:i w:val="0"/>
          <w:color w:val="8C5A2B"/>
          <w:sz w:val="16"/>
        </w:rPr>
        <w:t>buecher.effedore.com · Edizioni Effedore · frei zugänglich, ohne Registrierung</w:t>
      </w:r>
    </w:p>
    <w:sectPr w:rsidR="002B7A23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852B2" w14:textId="77777777" w:rsidR="00D81711" w:rsidRDefault="00D81711">
      <w:r>
        <w:separator/>
      </w:r>
    </w:p>
  </w:endnote>
  <w:endnote w:type="continuationSeparator" w:id="0">
    <w:p w14:paraId="5E389E2A" w14:textId="77777777" w:rsidR="00D81711" w:rsidRDefault="00D81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7683B" w14:textId="77777777" w:rsidR="002B7A23" w:rsidRDefault="00000000">
    <w:pPr>
      <w:jc w:val="center"/>
    </w:pPr>
    <w:r>
      <w:rPr>
        <w:color w:val="1A1A1A"/>
        <w:sz w:val="18"/>
        <w:szCs w:val="18"/>
      </w:rPr>
      <w:fldChar w:fldCharType="begin"/>
    </w:r>
    <w:r>
      <w:rPr>
        <w:color w:val="1A1A1A"/>
        <w:sz w:val="18"/>
        <w:szCs w:val="18"/>
      </w:rPr>
      <w:instrText>PAGE</w:instrText>
    </w:r>
    <w:r>
      <w:rPr>
        <w:color w:val="1A1A1A"/>
        <w:sz w:val="18"/>
        <w:szCs w:val="18"/>
      </w:rPr>
      <w:fldChar w:fldCharType="separate"/>
    </w:r>
    <w:r w:rsidR="005869EA">
      <w:rPr>
        <w:noProof/>
        <w:color w:val="1A1A1A"/>
        <w:sz w:val="18"/>
        <w:szCs w:val="18"/>
      </w:rPr>
      <w:t>1</w:t>
    </w:r>
    <w:r>
      <w:rPr>
        <w:color w:val="1A1A1A"/>
        <w:sz w:val="18"/>
        <w:szCs w:val="18"/>
      </w:rPr>
      <w:fldChar w:fldCharType="end"/>
    </w:r>
  </w:p>
  <w:p w14:paraId="3FC023C8" w14:textId="77777777" w:rsidR="006D0F5F" w:rsidRDefault="006D0F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543CB" w14:textId="77777777" w:rsidR="00D81711" w:rsidRDefault="00D81711">
      <w:r>
        <w:separator/>
      </w:r>
    </w:p>
  </w:footnote>
  <w:footnote w:type="continuationSeparator" w:id="0">
    <w:p w14:paraId="2BEF2499" w14:textId="77777777" w:rsidR="00D81711" w:rsidRDefault="00D81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900E3"/>
    <w:multiLevelType w:val="hybridMultilevel"/>
    <w:tmpl w:val="623AEAC2"/>
    <w:lvl w:ilvl="0" w:tplc="A12A4BB4">
      <w:start w:val="1"/>
      <w:numFmt w:val="bullet"/>
      <w:lvlText w:val="●"/>
      <w:lvlJc w:val="left"/>
      <w:pPr>
        <w:ind w:left="720" w:hanging="360"/>
      </w:pPr>
    </w:lvl>
    <w:lvl w:ilvl="1" w:tplc="CCD48186">
      <w:start w:val="1"/>
      <w:numFmt w:val="bullet"/>
      <w:lvlText w:val="○"/>
      <w:lvlJc w:val="left"/>
      <w:pPr>
        <w:ind w:left="1440" w:hanging="360"/>
      </w:pPr>
    </w:lvl>
    <w:lvl w:ilvl="2" w:tplc="5D88C7E0">
      <w:start w:val="1"/>
      <w:numFmt w:val="bullet"/>
      <w:lvlText w:val="■"/>
      <w:lvlJc w:val="left"/>
      <w:pPr>
        <w:ind w:left="2160" w:hanging="360"/>
      </w:pPr>
    </w:lvl>
    <w:lvl w:ilvl="3" w:tplc="6428CC3E">
      <w:start w:val="1"/>
      <w:numFmt w:val="bullet"/>
      <w:lvlText w:val="●"/>
      <w:lvlJc w:val="left"/>
      <w:pPr>
        <w:ind w:left="2880" w:hanging="360"/>
      </w:pPr>
    </w:lvl>
    <w:lvl w:ilvl="4" w:tplc="F7981C46">
      <w:start w:val="1"/>
      <w:numFmt w:val="bullet"/>
      <w:lvlText w:val="○"/>
      <w:lvlJc w:val="left"/>
      <w:pPr>
        <w:ind w:left="3600" w:hanging="360"/>
      </w:pPr>
    </w:lvl>
    <w:lvl w:ilvl="5" w:tplc="2C3C69B4">
      <w:start w:val="1"/>
      <w:numFmt w:val="bullet"/>
      <w:lvlText w:val="■"/>
      <w:lvlJc w:val="left"/>
      <w:pPr>
        <w:ind w:left="4320" w:hanging="360"/>
      </w:pPr>
    </w:lvl>
    <w:lvl w:ilvl="6" w:tplc="B3A67A10">
      <w:start w:val="1"/>
      <w:numFmt w:val="bullet"/>
      <w:lvlText w:val="●"/>
      <w:lvlJc w:val="left"/>
      <w:pPr>
        <w:ind w:left="5040" w:hanging="360"/>
      </w:pPr>
    </w:lvl>
    <w:lvl w:ilvl="7" w:tplc="59BC04B8">
      <w:start w:val="1"/>
      <w:numFmt w:val="bullet"/>
      <w:lvlText w:val="●"/>
      <w:lvlJc w:val="left"/>
      <w:pPr>
        <w:ind w:left="5760" w:hanging="360"/>
      </w:pPr>
    </w:lvl>
    <w:lvl w:ilvl="8" w:tplc="6FBC0F20">
      <w:start w:val="1"/>
      <w:numFmt w:val="bullet"/>
      <w:lvlText w:val="●"/>
      <w:lvlJc w:val="left"/>
      <w:pPr>
        <w:ind w:left="6480" w:hanging="360"/>
      </w:pPr>
    </w:lvl>
  </w:abstractNum>
  <w:num w:numId="1" w16cid:durableId="3800536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23"/>
    <w:rsid w:val="002B7A23"/>
    <w:rsid w:val="00315269"/>
    <w:rsid w:val="005869EA"/>
    <w:rsid w:val="00587E7A"/>
    <w:rsid w:val="00652B05"/>
    <w:rsid w:val="006D0F5F"/>
    <w:rsid w:val="007A7E2B"/>
    <w:rsid w:val="00A41B54"/>
    <w:rsid w:val="00A57137"/>
    <w:rsid w:val="00A65666"/>
    <w:rsid w:val="00B25466"/>
    <w:rsid w:val="00C13BB2"/>
    <w:rsid w:val="00D64CE3"/>
    <w:rsid w:val="00D73F7B"/>
    <w:rsid w:val="00D81711"/>
    <w:rsid w:val="00E0417D"/>
    <w:rsid w:val="00FD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F9D90"/>
  <w15:docId w15:val="{1143494F-7776-4023-8580-C88F5C88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1"/>
        <w:szCs w:val="21"/>
        <w:lang w:val="de-DE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b/>
      <w:bCs/>
      <w:color w:val="002060"/>
      <w:sz w:val="36"/>
      <w:szCs w:val="36"/>
    </w:rPr>
  </w:style>
  <w:style w:type="paragraph" w:styleId="Titolo2">
    <w:name w:val="heading 2"/>
    <w:uiPriority w:val="9"/>
    <w:unhideWhenUsed/>
    <w:qFormat/>
    <w:pPr>
      <w:outlineLvl w:val="1"/>
    </w:pPr>
    <w:rPr>
      <w:b/>
      <w:bCs/>
      <w:color w:val="002060"/>
      <w:sz w:val="30"/>
      <w:szCs w:val="30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b/>
      <w:bCs/>
      <w:color w:val="002060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unhideWhenUsed/>
    <w:rsid w:val="005869E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5869EA"/>
    <w:pPr>
      <w:spacing w:after="100"/>
      <w:ind w:left="210"/>
    </w:pPr>
  </w:style>
  <w:style w:type="paragraph" w:styleId="Titolosommario">
    <w:name w:val="TOC Heading"/>
    <w:basedOn w:val="Titolo1"/>
    <w:next w:val="Normale"/>
    <w:uiPriority w:val="39"/>
    <w:unhideWhenUsed/>
    <w:qFormat/>
    <w:rsid w:val="005869EA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DD144-2B70-4371-A4B4-31C56BA36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553</Pages>
  <Words>148706</Words>
  <Characters>847625</Characters>
  <Application>Microsoft Office Word</Application>
  <DocSecurity>0</DocSecurity>
  <Lines>7063</Lines>
  <Paragraphs>1988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Das Steuer und die Lupe — Band 6a — ISO 22000 — Das Vertrauen am Tisch</vt:lpstr>
    </vt:vector>
  </TitlesOfParts>
  <Company/>
  <LinksUpToDate>false</LinksUpToDate>
  <CharactersWithSpaces>994343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 Steuer und die Lupe — Band 6a — ISO 22000 — Das Vertrauen am Tisch</dc:title>
  <dc:creator>Francesco Dore</dc:creator>
  <cp:lastModifiedBy>Francesco Dore</cp:lastModifiedBy>
  <cp:revision>2</cp:revision>
  <cp:lastPrinted>2026-10-03T15:03:00Z</cp:lastPrinted>
  <dcterms:created xsi:type="dcterms:W3CDTF">2026-10-20T01:07:00Z</dcterms:created>
  <dcterms:modified xsi:type="dcterms:W3CDTF">2026-10-20T01:07:00Z</dcterms:modified>
</cp:coreProperties>
</file>