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b w:val="0"/>
          <w:i w:val="0"/>
          <w:color w:val="8C5A2B"/>
          <w:sz w:val="18"/>
        </w:rPr>
        <w:t>Das Steuer und die Lupe · Band 6a · ISO 22000 — Arbeitsmaterial zu Abschnitt</w:t>
      </w:r>
    </w:p>
    <w:p w14:paraId="79A2B312" w14:textId="77777777" w:rsidR="002B7A23" w:rsidRDefault="00000000">
      <w:pPr>
        <w:pStyle w:val="Titolo2"/>
        <w:spacing w:after="200" w:line="340" w:lineRule="auto"/>
      </w:pPr>
      <w:bookmarkStart w:id="13" w:name="_Toc241934040"/>
      <w:bookmarkStart w:id="14" w:name="_Toc241939309"/>
      <w:r>
        <w:lastRenderedPageBreak/>
        <w:t>1.6 Lebensmittelsicherheitspolitik: eine Politik, die ein Gericht ablehnen kann</w:t>
      </w:r>
      <w:bookmarkEnd w:id="13"/>
      <w:bookmarkEnd w:id="14"/>
    </w:p>
    <w:p>
      <w:r>
        <w:rPr>
          <w:b w:val="0"/>
          <w:i/>
          <w:sz w:val="18"/>
        </w:rPr>
        <w:t>Bearbeitbare Fassung des Arbeitsmaterials aus dem Buch: Fragen in ihrer Reihenfolge, Grund jeder Frage, Hinweis auf Verlangtes und Methode. Die Vorlage ersetzt keine Methode; jedes Haus bringt seine Antworten in sein eigenes Format.</w:t>
      </w:r>
    </w:p>
    <w:p w14:paraId="6F15ED2C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Praktische Anwendung: eine Politik in sieben Schritten schreiben</w:t>
      </w:r>
    </w:p>
    <w:p w14:paraId="3738B263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1. Die Probe machen.</w:t>
      </w:r>
      <w:r>
        <w:rPr>
          <w:color w:val="1A1A1A"/>
        </w:rPr>
        <w:t xml:space="preserve"> Lesen Sie die heutige Politik und fragen Sie: Welches Gericht, welchen Lieferanten, welche Buchung schließt sie aus?</w:t>
      </w:r>
    </w:p>
    <w:p w14:paraId="15204E1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2. Das Heikle benennen.</w:t>
      </w:r>
      <w:r>
        <w:rPr>
          <w:color w:val="1A1A1A"/>
        </w:rPr>
        <w:t xml:space="preserve"> Was sind die drei bis fünf Dinge, an denen die Lebensmittelsicherheit dieses Hauses hängt? Rohes, lange Standzeiten, Allergene, große Bankette, Außenstellen.</w:t>
      </w:r>
    </w:p>
    <w:p w14:paraId="136199B0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3. Die Vorschriften klären.</w:t>
      </w:r>
      <w:r>
        <w:rPr>
          <w:color w:val="1A1A1A"/>
        </w:rPr>
        <w:t xml:space="preserve"> Lassen Sie aufschreiben, welche Vorschriften für diese Gerichte gelten, mit Fundstelle und Datum.</w:t>
      </w:r>
    </w:p>
    <w:p w14:paraId="22519EAD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lastRenderedPageBreak/>
        <w:t>4. Die Festlegungen formulieren.</w:t>
      </w:r>
      <w:r>
        <w:rPr>
          <w:color w:val="1A1A1A"/>
        </w:rPr>
        <w:t xml:space="preserve"> Zu jedem heiklen Punkt ein Satz, gegen den man verstoßen kann.</w:t>
      </w:r>
    </w:p>
    <w:p w14:paraId="30410CF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5. Die Kosten nennen.</w:t>
      </w:r>
      <w:r>
        <w:rPr>
          <w:color w:val="1A1A1A"/>
        </w:rPr>
        <w:t xml:space="preserve"> Was kostet jede Festlegung an Angebot, Optik oder Arbeit? Die Leitung entscheidet in Kenntnis dieser Kosten.</w:t>
      </w:r>
    </w:p>
    <w:p w14:paraId="4A9C4450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6. Die letzte Instanz bestimmen.</w:t>
      </w:r>
      <w:r>
        <w:rPr>
          <w:color w:val="1A1A1A"/>
        </w:rPr>
        <w:t xml:space="preserve"> Wer entscheidet, wenn die Küche Nein sagt und der Verkauf Ja?</w:t>
      </w:r>
    </w:p>
    <w:p w14:paraId="67F59B4F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7. Den Anlass festlegen.</w:t>
      </w:r>
      <w:r>
        <w:rPr>
          <w:color w:val="1A1A1A"/>
        </w:rPr>
        <w:t xml:space="preserve"> Jede neue Karte, jede neue Ausgabestelle und jede neue Art von Veranstaltung löst eine Prüfung der Politik aus.</w:t>
      </w:r>
    </w:p>
    <w:p w14:paraId="54541544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Prüf-Checkliste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4"/>
        <w:gridCol w:w="1156"/>
        <w:gridCol w:w="1156"/>
      </w:tblGrid>
      <w:tr w:rsidR="002B7A23" w14:paraId="6D2C6D5E" w14:textId="77777777">
        <w:trPr>
          <w:tblHeader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8C0BD4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Frage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52B068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Ja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EA5E41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Nein</w:t>
            </w:r>
          </w:p>
        </w:tc>
      </w:tr>
      <w:tr w:rsidR="002B7A23" w14:paraId="6E43F5AD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6CAAB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Enthält unsere Politik mindestens einen Satz, der nur für dieses Haus gilt?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DDA976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BAE731" w14:textId="77777777" w:rsidR="002B7A23" w:rsidRDefault="002B7A23">
            <w:pPr>
              <w:spacing w:line="260" w:lineRule="auto"/>
            </w:pPr>
          </w:p>
        </w:tc>
      </w:tr>
      <w:tr w:rsidR="002B7A23" w14:paraId="39CD087E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034D480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Kann man gegen jeden ihrer Sätze verstoßen?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C906A5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10C11B" w14:textId="77777777" w:rsidR="002B7A23" w:rsidRDefault="002B7A23">
            <w:pPr>
              <w:spacing w:line="260" w:lineRule="auto"/>
            </w:pPr>
          </w:p>
        </w:tc>
      </w:tr>
      <w:tr w:rsidR="002B7A23" w14:paraId="0985E102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CBA1E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Lassen sich unsere Ziele aus ihr ableiten?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0E72AE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95268A9" w14:textId="77777777" w:rsidR="002B7A23" w:rsidRDefault="002B7A23">
            <w:pPr>
              <w:spacing w:line="260" w:lineRule="auto"/>
            </w:pPr>
          </w:p>
        </w:tc>
      </w:tr>
      <w:tr w:rsidR="002B7A23" w14:paraId="343C62ED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15B362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Weiß jemand im Haus, welche Vorschriften für unsere Gerichte gelten, und seit wann?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8FB682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594F1A" w14:textId="77777777" w:rsidR="002B7A23" w:rsidRDefault="002B7A23">
            <w:pPr>
              <w:spacing w:line="260" w:lineRule="auto"/>
            </w:pPr>
          </w:p>
        </w:tc>
      </w:tr>
      <w:tr w:rsidR="002B7A23" w14:paraId="0E7C84A8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ABE6B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Kann eine Servicekraft in eigenen Worten sagen, was die Politik für ihre Arbeit bedeutet?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CBE619A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B34576" w14:textId="77777777" w:rsidR="002B7A23" w:rsidRDefault="002B7A23">
            <w:pPr>
              <w:spacing w:line="260" w:lineRule="auto"/>
            </w:pPr>
          </w:p>
        </w:tc>
      </w:tr>
      <w:tr w:rsidR="002B7A23" w14:paraId="587937C7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9F9CAC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Wurde die Politik im letzten Jahr außerhalb der Küche in einer Entscheidung zitiert?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E4A1B6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1C9B29" w14:textId="77777777" w:rsidR="002B7A23" w:rsidRDefault="002B7A23">
            <w:pPr>
              <w:spacing w:line="260" w:lineRule="auto"/>
            </w:pPr>
          </w:p>
        </w:tc>
      </w:tr>
      <w:tr w:rsidR="002B7A23" w14:paraId="490CEA11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D5DBCD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Regelt sie, wer bei einem Nein der Küche entscheidet?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232F85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E2D4DC" w14:textId="77777777" w:rsidR="002B7A23" w:rsidRDefault="002B7A23">
            <w:pPr>
              <w:spacing w:line="260" w:lineRule="auto"/>
            </w:pPr>
          </w:p>
        </w:tc>
      </w:tr>
      <w:tr w:rsidR="002B7A23" w14:paraId="5A8CE54D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F7C689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Wurde sie nach der letzten großen Änderung des Angebots geprüft?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2C63217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7C7B23" w14:textId="77777777" w:rsidR="002B7A23" w:rsidRDefault="002B7A23">
            <w:pPr>
              <w:spacing w:line="260" w:lineRule="auto"/>
            </w:pPr>
          </w:p>
        </w:tc>
      </w:tr>
    </w:tbl>
    <w:p w14:paraId="6A4590EA" w14:textId="77777777" w:rsidR="002B7A23" w:rsidRDefault="002B7A23">
      <w:pPr>
        <w:spacing w:after="140"/>
      </w:pPr>
    </w:p>
    <w:p w14:paraId="09D547F7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Häufige Fehler</w:t>
      </w:r>
    </w:p>
    <w:p w14:paraId="563671DF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Vorlage übernehmen.</w:t>
      </w:r>
      <w:r>
        <w:rPr>
          <w:color w:val="1A1A1A"/>
        </w:rPr>
        <w:t xml:space="preserve"> Sie passt in jedes Haus und deshalb zu keinem.</w:t>
      </w:r>
    </w:p>
    <w:p w14:paraId="01BB591F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Bekenntnisse für Inhalt halten.</w:t>
      </w:r>
      <w:r>
        <w:rPr>
          <w:color w:val="1A1A1A"/>
        </w:rPr>
        <w:t xml:space="preserve"> «Höchste Standards» entscheidet keinen Streit.</w:t>
      </w:r>
    </w:p>
    <w:p w14:paraId="0B56BD53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Vorschriften versprechen, die niemand kennt.</w:t>
      </w:r>
      <w:r>
        <w:rPr>
          <w:color w:val="1A1A1A"/>
        </w:rPr>
        <w:t xml:space="preserve"> Die Verpflichtung braucht einen Namen.</w:t>
      </w:r>
    </w:p>
    <w:p w14:paraId="19A9E270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lastRenderedPageBreak/>
        <w:t>Die Küche allein schreiben lassen.</w:t>
      </w:r>
      <w:r>
        <w:rPr>
          <w:color w:val="1A1A1A"/>
        </w:rPr>
        <w:t xml:space="preserve"> Festlegungen kosten etwas, und das entscheidet die Leitung.</w:t>
      </w:r>
    </w:p>
    <w:p w14:paraId="25609F86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Aushängen und abhaken.</w:t>
      </w:r>
      <w:r>
        <w:rPr>
          <w:color w:val="1A1A1A"/>
        </w:rPr>
        <w:t xml:space="preserve"> Vermittelt ist nicht verstanden, verstanden ist nicht angewendet.</w:t>
      </w:r>
    </w:p>
    <w:p w14:paraId="06D48ECB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Politik nie ändern.</w:t>
      </w:r>
      <w:r>
        <w:rPr>
          <w:color w:val="1A1A1A"/>
        </w:rPr>
        <w:t xml:space="preserve"> Das Angebot ändert sich, der Rahmen muss folgen.</w:t>
      </w:r>
    </w:p>
    <w:p w14:paraId="2376B8EF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Modellrechnung</w:t>
      </w:r>
    </w:p>
    <w:p w14:paraId="1CA166FB" w14:textId="77777777" w:rsidR="002B7A23" w:rsidRDefault="00000000">
      <w:pPr>
        <w:keepNext/>
        <w:spacing w:before="160" w:after="90"/>
      </w:pPr>
      <w:r>
        <w:rPr>
          <w:b/>
          <w:bCs/>
          <w:color w:val="5A5A5A"/>
          <w:sz w:val="18"/>
          <w:szCs w:val="18"/>
        </w:rPr>
        <w:t>Modellannahme, kein belegter Branchenwert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313"/>
        <w:gridCol w:w="2504"/>
      </w:tblGrid>
      <w:tr w:rsidR="002B7A23" w14:paraId="04DCF695" w14:textId="77777777">
        <w:trPr>
          <w:tblHeader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F8653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24FCFC0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Betrag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AE1D60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Anmerkung</w:t>
            </w:r>
          </w:p>
        </w:tc>
      </w:tr>
      <w:tr w:rsidR="002B7A23" w14:paraId="3314D47F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EC676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Mehrkosten pasteurisiertes Ei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747B9E1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1.900 €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B2AFF4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im Jahr, 52 Sonntage</w:t>
            </w:r>
          </w:p>
        </w:tc>
      </w:tr>
      <w:tr w:rsidR="002B7A23" w14:paraId="11A78E47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128D01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Gekühlte Vitrine für das Dessertbuffet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5C41F41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4.600 €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FEFE816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3A61F371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09FE0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Hollandaise stündlich frisch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E6424C4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26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E37090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im Jahr, Arbeitszeit</w:t>
            </w:r>
          </w:p>
        </w:tc>
      </w:tr>
      <w:tr w:rsidR="002B7A23" w14:paraId="02D11537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C5198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Umsatz des Sonntagsbrunchs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6723ED1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310.000 €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E0B6C8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im Jahr</w:t>
            </w:r>
          </w:p>
        </w:tc>
      </w:tr>
      <w:tr w:rsidR="002B7A23" w14:paraId="6BA6C2B0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278A8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Neufassung der Politik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9F9B1E3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6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2A2A55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Inhaber, Küchenchef, F&amp;B</w:t>
            </w:r>
          </w:p>
        </w:tc>
      </w:tr>
    </w:tbl>
    <w:p w14:paraId="7787C289" w14:textId="77777777" w:rsidR="002B7A23" w:rsidRDefault="002B7A23">
      <w:pPr>
        <w:spacing w:after="140"/>
      </w:pPr>
    </w:p>
    <w:p>
      <w:r>
        <w:rPr>
          <w:b w:val="0"/>
          <w:i w:val="0"/>
          <w:color w:val="8C5A2B"/>
          <w:sz w:val="16"/>
        </w:rPr>
        <w:t>buecher.effedore.com · Edizioni Effedore · frei zugänglich, ohne Registrierung</w:t>
      </w:r>
    </w:p>
    <w:sectPr w:rsidR="002B7A2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52B2" w14:textId="77777777" w:rsidR="00D81711" w:rsidRDefault="00D81711">
      <w:r>
        <w:separator/>
      </w:r>
    </w:p>
  </w:endnote>
  <w:endnote w:type="continuationSeparator" w:id="0">
    <w:p w14:paraId="5E389E2A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683B" w14:textId="77777777" w:rsidR="002B7A23" w:rsidRDefault="00000000">
    <w:pPr>
      <w:jc w:val="center"/>
    </w:pPr>
    <w:r>
      <w:rPr>
        <w:color w:val="1A1A1A"/>
        <w:sz w:val="18"/>
        <w:szCs w:val="18"/>
      </w:rPr>
      <w:fldChar w:fldCharType="begin"/>
    </w:r>
    <w:r>
      <w:rPr>
        <w:color w:val="1A1A1A"/>
        <w:sz w:val="18"/>
        <w:szCs w:val="18"/>
      </w:rPr>
      <w:instrText>PAGE</w:instrText>
    </w:r>
    <w:r>
      <w:rPr>
        <w:color w:val="1A1A1A"/>
        <w:sz w:val="18"/>
        <w:szCs w:val="18"/>
      </w:rPr>
      <w:fldChar w:fldCharType="separate"/>
    </w:r>
    <w:r w:rsidR="005869EA">
      <w:rPr>
        <w:noProof/>
        <w:color w:val="1A1A1A"/>
        <w:sz w:val="18"/>
        <w:szCs w:val="18"/>
      </w:rPr>
      <w:t>1</w:t>
    </w:r>
    <w:r>
      <w:rPr>
        <w:color w:val="1A1A1A"/>
        <w:sz w:val="18"/>
        <w:szCs w:val="18"/>
      </w:rPr>
      <w:fldChar w:fldCharType="end"/>
    </w:r>
  </w:p>
  <w:p w14:paraId="3FC023C8" w14:textId="77777777" w:rsidR="006D0F5F" w:rsidRDefault="006D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43CB" w14:textId="77777777" w:rsidR="00D81711" w:rsidRDefault="00D81711">
      <w:r>
        <w:separator/>
      </w:r>
    </w:p>
  </w:footnote>
  <w:footnote w:type="continuationSeparator" w:id="0">
    <w:p w14:paraId="2BEF2499" w14:textId="77777777" w:rsidR="00D81711" w:rsidRDefault="00D8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900E3"/>
    <w:multiLevelType w:val="hybridMultilevel"/>
    <w:tmpl w:val="623AEAC2"/>
    <w:lvl w:ilvl="0" w:tplc="A12A4BB4">
      <w:start w:val="1"/>
      <w:numFmt w:val="bullet"/>
      <w:lvlText w:val="●"/>
      <w:lvlJc w:val="left"/>
      <w:pPr>
        <w:ind w:left="720" w:hanging="360"/>
      </w:pPr>
    </w:lvl>
    <w:lvl w:ilvl="1" w:tplc="CCD48186">
      <w:start w:val="1"/>
      <w:numFmt w:val="bullet"/>
      <w:lvlText w:val="○"/>
      <w:lvlJc w:val="left"/>
      <w:pPr>
        <w:ind w:left="1440" w:hanging="360"/>
      </w:pPr>
    </w:lvl>
    <w:lvl w:ilvl="2" w:tplc="5D88C7E0">
      <w:start w:val="1"/>
      <w:numFmt w:val="bullet"/>
      <w:lvlText w:val="■"/>
      <w:lvlJc w:val="left"/>
      <w:pPr>
        <w:ind w:left="2160" w:hanging="360"/>
      </w:pPr>
    </w:lvl>
    <w:lvl w:ilvl="3" w:tplc="6428CC3E">
      <w:start w:val="1"/>
      <w:numFmt w:val="bullet"/>
      <w:lvlText w:val="●"/>
      <w:lvlJc w:val="left"/>
      <w:pPr>
        <w:ind w:left="2880" w:hanging="360"/>
      </w:pPr>
    </w:lvl>
    <w:lvl w:ilvl="4" w:tplc="F7981C46">
      <w:start w:val="1"/>
      <w:numFmt w:val="bullet"/>
      <w:lvlText w:val="○"/>
      <w:lvlJc w:val="left"/>
      <w:pPr>
        <w:ind w:left="3600" w:hanging="360"/>
      </w:pPr>
    </w:lvl>
    <w:lvl w:ilvl="5" w:tplc="2C3C69B4">
      <w:start w:val="1"/>
      <w:numFmt w:val="bullet"/>
      <w:lvlText w:val="■"/>
      <w:lvlJc w:val="left"/>
      <w:pPr>
        <w:ind w:left="4320" w:hanging="360"/>
      </w:pPr>
    </w:lvl>
    <w:lvl w:ilvl="6" w:tplc="B3A67A10">
      <w:start w:val="1"/>
      <w:numFmt w:val="bullet"/>
      <w:lvlText w:val="●"/>
      <w:lvlJc w:val="left"/>
      <w:pPr>
        <w:ind w:left="5040" w:hanging="360"/>
      </w:pPr>
    </w:lvl>
    <w:lvl w:ilvl="7" w:tplc="59BC04B8">
      <w:start w:val="1"/>
      <w:numFmt w:val="bullet"/>
      <w:lvlText w:val="●"/>
      <w:lvlJc w:val="left"/>
      <w:pPr>
        <w:ind w:left="5760" w:hanging="360"/>
      </w:pPr>
    </w:lvl>
    <w:lvl w:ilvl="8" w:tplc="6FBC0F20">
      <w:start w:val="1"/>
      <w:numFmt w:val="bullet"/>
      <w:lvlText w:val="●"/>
      <w:lvlJc w:val="left"/>
      <w:pPr>
        <w:ind w:left="6480" w:hanging="360"/>
      </w:pPr>
    </w:lvl>
  </w:abstractNum>
  <w:num w:numId="1" w16cid:durableId="380053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3"/>
    <w:rsid w:val="002B7A23"/>
    <w:rsid w:val="00315269"/>
    <w:rsid w:val="005869EA"/>
    <w:rsid w:val="00587E7A"/>
    <w:rsid w:val="00652B05"/>
    <w:rsid w:val="006D0F5F"/>
    <w:rsid w:val="007A7E2B"/>
    <w:rsid w:val="00A41B54"/>
    <w:rsid w:val="00A57137"/>
    <w:rsid w:val="00A65666"/>
    <w:rsid w:val="00B25466"/>
    <w:rsid w:val="00C13BB2"/>
    <w:rsid w:val="00D64CE3"/>
    <w:rsid w:val="00D73F7B"/>
    <w:rsid w:val="00D81711"/>
    <w:rsid w:val="00E0417D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9D90"/>
  <w15:docId w15:val="{1143494F-7776-4023-8580-C88F5C8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2060"/>
      <w:sz w:val="36"/>
      <w:szCs w:val="36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2060"/>
      <w:sz w:val="30"/>
      <w:szCs w:val="30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b/>
      <w:bCs/>
      <w:color w:val="002060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5869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5869EA"/>
    <w:pPr>
      <w:spacing w:after="100"/>
      <w:ind w:left="210"/>
    </w:pPr>
  </w:style>
  <w:style w:type="paragraph" w:styleId="Titolosommario">
    <w:name w:val="TOC Heading"/>
    <w:basedOn w:val="Titolo1"/>
    <w:next w:val="Normale"/>
    <w:uiPriority w:val="39"/>
    <w:unhideWhenUsed/>
    <w:qFormat/>
    <w:rsid w:val="005869E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DD144-2B70-4371-A4B4-31C56BA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553</Pages>
  <Words>148706</Words>
  <Characters>847625</Characters>
  <Application>Microsoft Office Word</Application>
  <DocSecurity>0</DocSecurity>
  <Lines>7063</Lines>
  <Paragraphs>1988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Das Steuer und die Lupe — Band 6a — ISO 22000 — Das Vertrauen am Tisch</vt:lpstr>
    </vt:vector>
  </TitlesOfParts>
  <Company/>
  <LinksUpToDate>false</LinksUpToDate>
  <CharactersWithSpaces>994343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Steuer und die Lupe — Band 6a — ISO 22000 — Das Vertrauen am Tisch</dc:title>
  <dc:creator>Francesco Dore</dc:creator>
  <cp:lastModifiedBy>Francesco Dore</cp:lastModifiedBy>
  <cp:revision>2</cp:revision>
  <cp:lastPrinted>2026-10-03T15:03:00Z</cp:lastPrinted>
  <dcterms:created xsi:type="dcterms:W3CDTF">2026-10-20T01:07:00Z</dcterms:created>
  <dcterms:modified xsi:type="dcterms:W3CDTF">2026-10-20T01:07:00Z</dcterms:modified>
</cp:coreProperties>
</file>