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4F14037E" w14:textId="77777777" w:rsidR="002B7A23" w:rsidRDefault="00000000">
      <w:pPr>
        <w:pStyle w:val="Titolo2"/>
        <w:spacing w:after="200" w:line="340" w:lineRule="auto"/>
      </w:pPr>
      <w:bookmarkStart w:id="17" w:name="_Toc241934042"/>
      <w:bookmarkStart w:id="18" w:name="_Toc241939311"/>
      <w:r>
        <w:lastRenderedPageBreak/>
        <w:t>1.8 Risiko für den Betrieb, Gefahr für den Gast</w:t>
      </w:r>
      <w:bookmarkEnd w:id="17"/>
      <w:bookmarkEnd w:id="18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541F6355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beiden Ebenen in sieben Schritten trennen</w:t>
      </w:r>
    </w:p>
    <w:p w14:paraId="5332A3E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Das Register lesen.</w:t>
      </w:r>
      <w:r>
        <w:rPr>
          <w:color w:val="1A1A1A"/>
        </w:rPr>
        <w:t xml:space="preserve"> Suchen Sie jede Zeile, die nach einem Keim, einem Allergen, einem Fremdkörper oder einer Erkrankung benannt ist.</w:t>
      </w:r>
    </w:p>
    <w:p w14:paraId="58C6773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Zeilen umschreiben.</w:t>
      </w:r>
      <w:r>
        <w:rPr>
          <w:color w:val="1A1A1A"/>
        </w:rPr>
        <w:t xml:space="preserve"> Formulieren Sie sie als Risiko für das System: Was kann dazu führen, dass die Beherrschung dieser Gefahr ausfällt?</w:t>
      </w:r>
    </w:p>
    <w:p w14:paraId="50D919F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Kopfzeile ergänzen.</w:t>
      </w:r>
      <w:r>
        <w:rPr>
          <w:color w:val="1A1A1A"/>
        </w:rPr>
        <w:t xml:space="preserve"> Schreiben Sie über das Register, dass es Risiken für das Unternehmen und das System enthält und über Gefahren im Lebensmittel nicht entscheidet.</w:t>
      </w:r>
    </w:p>
    <w:p w14:paraId="33C67C3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Voraussetzungen sichtbar machen.</w:t>
      </w:r>
      <w:r>
        <w:rPr>
          <w:color w:val="1A1A1A"/>
        </w:rPr>
        <w:t xml:space="preserve"> Ergänzen Sie in der Gefahrenanalyse zu jeder Maßnahme, wovon sie abhängt: Lieferrhythmus, Gerät, Personal, Lieferant.</w:t>
      </w:r>
    </w:p>
    <w:p w14:paraId="60980F2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Das Feld einführen.</w:t>
      </w:r>
      <w:r>
        <w:rPr>
          <w:color w:val="1A1A1A"/>
        </w:rPr>
        <w:t xml:space="preserve"> Jede Vorlage zu Einkauf, Investition und Einsparung erhält die Frage: Welche Maßnahme der Gefahrenanalyse ist berührt?</w:t>
      </w:r>
    </w:p>
    <w:p w14:paraId="4489A4A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Den Teamleiter einladen.</w:t>
      </w:r>
      <w:r>
        <w:rPr>
          <w:color w:val="1A1A1A"/>
        </w:rPr>
        <w:t xml:space="preserve"> Er nimmt an Entscheidungen teil, die ein Produkt, einen Lieferanten oder ein Gerät betreffen, bevor sie fallen.</w:t>
      </w:r>
    </w:p>
    <w:p w14:paraId="6F7E8CE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Rückschau machen.</w:t>
      </w:r>
      <w:r>
        <w:rPr>
          <w:color w:val="1A1A1A"/>
        </w:rPr>
        <w:t xml:space="preserve"> Prüfen Sie die Einkaufs- und Sparbeschlüsse der letzten zwei Jahre nachträglich gegen die Gefahrenanalyse.</w:t>
      </w:r>
    </w:p>
    <w:p w14:paraId="64F186B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7927CDB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CAD94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FF343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83FD1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306CB2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CCBB4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klar, welches Risiko unser Register meint?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3A0F0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5E5C47" w14:textId="77777777" w:rsidR="002B7A23" w:rsidRDefault="002B7A23">
            <w:pPr>
              <w:spacing w:line="260" w:lineRule="auto"/>
            </w:pPr>
          </w:p>
        </w:tc>
      </w:tr>
      <w:tr w:rsidR="002B7A23" w14:paraId="3C82D2C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ABD22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es frei von Zeilen, die über eine Gefahr im Lebensmittel verfügen?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AA3D9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08D93D" w14:textId="77777777" w:rsidR="002B7A23" w:rsidRDefault="002B7A23">
            <w:pPr>
              <w:spacing w:line="260" w:lineRule="auto"/>
            </w:pPr>
          </w:p>
        </w:tc>
      </w:tr>
      <w:tr w:rsidR="002B7A23" w14:paraId="7625229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DCD91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Enthält es mindestens eine Zeile über den möglichen Ausfall des Systems?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7FFA3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AE69FF" w14:textId="77777777" w:rsidR="002B7A23" w:rsidRDefault="002B7A23">
            <w:pPr>
              <w:spacing w:line="260" w:lineRule="auto"/>
            </w:pPr>
          </w:p>
        </w:tc>
      </w:tr>
      <w:tr w:rsidR="002B7A23" w14:paraId="3FB1E01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ACFB9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Nennt die Gefahrenanalyse die Voraussetzungen ihrer Maßnahmen?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3C5F5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2363A1" w14:textId="77777777" w:rsidR="002B7A23" w:rsidRDefault="002B7A23">
            <w:pPr>
              <w:spacing w:line="260" w:lineRule="auto"/>
            </w:pPr>
          </w:p>
        </w:tc>
      </w:tr>
      <w:tr w:rsidR="002B7A23" w14:paraId="78B1A16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EED2E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die Gefahrenanalyse vor einem Lieferantenwechsel befragt?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1EE8F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DC839A" w14:textId="77777777" w:rsidR="002B7A23" w:rsidRDefault="002B7A23">
            <w:pPr>
              <w:spacing w:line="260" w:lineRule="auto"/>
            </w:pPr>
          </w:p>
        </w:tc>
      </w:tr>
      <w:tr w:rsidR="002B7A23" w14:paraId="40E2AED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89F35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wir die Laufzeit verzehrfertiger Ware und den Beleg des Herstellers dazu?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4A15D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35D2BF" w14:textId="77777777" w:rsidR="002B7A23" w:rsidRDefault="002B7A23">
            <w:pPr>
              <w:spacing w:line="260" w:lineRule="auto"/>
            </w:pPr>
          </w:p>
        </w:tc>
      </w:tr>
      <w:tr w:rsidR="002B7A23" w14:paraId="3F5D32A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5A7CE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geregelt, wie lange geöffnete Packungen verwendet werden?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77252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92494" w14:textId="77777777" w:rsidR="002B7A23" w:rsidRDefault="002B7A23">
            <w:pPr>
              <w:spacing w:line="260" w:lineRule="auto"/>
            </w:pPr>
          </w:p>
        </w:tc>
      </w:tr>
      <w:tr w:rsidR="002B7A23" w14:paraId="13D932C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6E332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Wurden frühere Sparbeschlüsse nachträglich geprüft?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AD0EE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215C27" w14:textId="77777777" w:rsidR="002B7A23" w:rsidRDefault="002B7A23">
            <w:pPr>
              <w:spacing w:line="260" w:lineRule="auto"/>
            </w:pPr>
          </w:p>
        </w:tc>
      </w:tr>
    </w:tbl>
    <w:p w14:paraId="0E7D4094" w14:textId="77777777" w:rsidR="002B7A23" w:rsidRDefault="002B7A23">
      <w:pPr>
        <w:spacing w:after="140"/>
      </w:pPr>
    </w:p>
    <w:p w14:paraId="76232A2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3E1529C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Ein Register für alles führen.</w:t>
      </w:r>
      <w:r>
        <w:rPr>
          <w:color w:val="1A1A1A"/>
        </w:rPr>
        <w:t xml:space="preserve"> Die Gefahr übernimmt die Logik des Geschäftsrisikos.</w:t>
      </w:r>
    </w:p>
    <w:p w14:paraId="4CF1A59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Gefahren mit Punkten bewerten und dann tolerieren.</w:t>
      </w:r>
      <w:r>
        <w:rPr>
          <w:color w:val="1A1A1A"/>
        </w:rPr>
        <w:t xml:space="preserve"> «Mittel» ist keine Maßnahme.</w:t>
      </w:r>
    </w:p>
    <w:p w14:paraId="6D6B79C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Zertifikate für Beherrschung halten.</w:t>
      </w:r>
      <w:r>
        <w:rPr>
          <w:color w:val="1A1A1A"/>
        </w:rPr>
        <w:t xml:space="preserve"> Sie enden an der Rampe.</w:t>
      </w:r>
    </w:p>
    <w:p w14:paraId="4F2CEB1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Lieferantenwechsel als Einkaufsthema behandeln.</w:t>
      </w:r>
      <w:r>
        <w:rPr>
          <w:color w:val="1A1A1A"/>
        </w:rPr>
        <w:t xml:space="preserve"> Er ändert Laufzeit, Verpackung und Rhythmus.</w:t>
      </w:r>
    </w:p>
    <w:p w14:paraId="0944AD8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Voraussetzungen verschweigen.</w:t>
      </w:r>
      <w:r>
        <w:rPr>
          <w:color w:val="1A1A1A"/>
        </w:rPr>
        <w:t xml:space="preserve"> Wer die Zeile liest, sieht nicht, was sie außer Kraft setzt.</w:t>
      </w:r>
    </w:p>
    <w:p w14:paraId="2AC2B0E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Küche nachträglich informieren.</w:t>
      </w:r>
      <w:r>
        <w:rPr>
          <w:color w:val="1A1A1A"/>
        </w:rPr>
        <w:t xml:space="preserve"> Eine Artikelliste ist keine Beteiligung.</w:t>
      </w:r>
    </w:p>
    <w:p w14:paraId="0A0A1824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404CDEB7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1472B55F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08F0D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0B4FB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FD74B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5E45658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A4B5C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Ersparnis durch gebündelten Fischeinkauf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DEA34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11.000 €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2BC58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Jahr, fünf Häuser</w:t>
            </w:r>
          </w:p>
        </w:tc>
      </w:tr>
      <w:tr w:rsidR="002B7A23" w14:paraId="3C7C005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546FD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Rückkehr zum örtlichen Lieferanten, ein Haus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54553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2.600 €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56EAD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Jahr, Mehrkosten</w:t>
            </w:r>
          </w:p>
        </w:tc>
      </w:tr>
      <w:tr w:rsidR="002B7A23" w14:paraId="4C4D6A7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24DE7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Zusätzliche Laboruntersuchungen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77808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1.900 €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A9A4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</w:t>
            </w:r>
          </w:p>
        </w:tc>
      </w:tr>
      <w:tr w:rsidR="002B7A23" w14:paraId="3F5C937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FA147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Verworfene Ware nach dem Befund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EF429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700 €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DB5BC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D36B95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933D6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Rückschau auf Beschlüsse zweier Jahre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A8C46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83B80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</w:tbl>
    <w:p w14:paraId="5770C9D8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