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r>
        <w:rPr>
          <w:b w:val="0"/>
          <w:i w:val="0"/>
          <w:color w:val="8C5A2B"/>
          <w:sz w:val="18"/>
        </w:rPr>
        <w:t>Das Steuer und die Lupe · Band 6a · ISO 22000 — Arbeitsmaterial zu Abschnitt</w:t>
      </w:r>
    </w:p>
    <w:p w14:paraId="74C71D8E" w14:textId="77777777" w:rsidR="002B7A23" w:rsidRDefault="00000000">
      <w:pPr>
        <w:pStyle w:val="Titolo2"/>
        <w:spacing w:after="200" w:line="340" w:lineRule="auto"/>
      </w:pPr>
      <w:bookmarkStart w:id="40" w:name="_Toc241934054"/>
      <w:bookmarkStart w:id="41" w:name="_Toc241939323"/>
      <w:r>
        <w:lastRenderedPageBreak/>
        <w:t>2.4 CCP oder oPRP: die Wahl, die alles entscheidet</w:t>
      </w:r>
      <w:bookmarkEnd w:id="40"/>
      <w:bookmarkEnd w:id="41"/>
    </w:p>
    <w:p>
      <w:r>
        <w:rPr>
          <w:b w:val="0"/>
          <w:i/>
          <w:sz w:val="18"/>
        </w:rPr>
        <w:t>Bearbeitbare Fassung des Arbeitsmaterials aus dem Buch: Fragen in ihrer Reihenfolge, Grund jeder Frage, Hinweis auf Verlangtes und Methode. Die Vorlage ersetzt keine Methode; jedes Haus bringt seine Antworten in sein eigenes Format.</w:t>
      </w:r>
    </w:p>
    <w:p w14:paraId="1A5B6CB9" w14:textId="77777777" w:rsidR="002B7A23" w:rsidRDefault="00000000">
      <w:pPr>
        <w:keepNext/>
        <w:spacing w:before="260" w:after="120"/>
      </w:pPr>
      <w:r>
        <w:rPr>
          <w:b/>
          <w:bCs/>
          <w:color w:val="8C5A2B"/>
          <w:sz w:val="25"/>
          <w:szCs w:val="25"/>
        </w:rPr>
        <w:t>Praktische Anwendung: den Plan in sieben Schritten auf wenige Punkte bringen</w:t>
      </w:r>
    </w:p>
    <w:p w14:paraId="4066B99E" w14:textId="77777777" w:rsidR="002B7A23" w:rsidRDefault="00000000">
      <w:pPr>
        <w:spacing w:after="140" w:line="300" w:lineRule="auto"/>
        <w:jc w:val="both"/>
      </w:pPr>
      <w:r>
        <w:rPr>
          <w:b/>
          <w:bCs/>
          <w:color w:val="1A1A1A"/>
        </w:rPr>
        <w:t>1. Alle Punkte auflisten.</w:t>
      </w:r>
      <w:r>
        <w:rPr>
          <w:color w:val="1A1A1A"/>
        </w:rPr>
        <w:t xml:space="preserve"> Schreiben Sie jeden Punkt Ihres heutigen Plans in eine Zeile, mit Grenzwert, Überwachung und Korrektur.</w:t>
      </w:r>
    </w:p>
    <w:p w14:paraId="3FEBB605" w14:textId="77777777" w:rsidR="002B7A23" w:rsidRDefault="00000000">
      <w:pPr>
        <w:spacing w:after="140" w:line="300" w:lineRule="auto"/>
        <w:jc w:val="both"/>
      </w:pPr>
      <w:r>
        <w:rPr>
          <w:b/>
          <w:bCs/>
          <w:color w:val="1A1A1A"/>
        </w:rPr>
        <w:t>2. Die drei Fragen stellen.</w:t>
      </w:r>
      <w:r>
        <w:rPr>
          <w:color w:val="1A1A1A"/>
        </w:rPr>
        <w:t xml:space="preserve"> Messbarer Grenzwert? Rechtzeitig feststellbar? Folge für das Produkt festgelegt?</w:t>
      </w:r>
    </w:p>
    <w:p w14:paraId="50B2AC91" w14:textId="77777777" w:rsidR="002B7A23" w:rsidRDefault="00000000">
      <w:pPr>
        <w:spacing w:after="140" w:line="300" w:lineRule="auto"/>
        <w:jc w:val="both"/>
      </w:pPr>
      <w:r>
        <w:rPr>
          <w:b/>
          <w:bCs/>
          <w:color w:val="1A1A1A"/>
        </w:rPr>
        <w:t>3. Einordnen.</w:t>
      </w:r>
      <w:r>
        <w:rPr>
          <w:color w:val="1A1A1A"/>
        </w:rPr>
        <w:t xml:space="preserve"> Dreimal Ja: kritischer Lenkungspunkt. Sonst operatives Programm, wenn eine signifikante Gefahr beherrscht wird. Sonst Präventivprogramm.</w:t>
      </w:r>
    </w:p>
    <w:p w14:paraId="71930CD7" w14:textId="77777777" w:rsidR="002B7A23" w:rsidRDefault="00000000">
      <w:pPr>
        <w:spacing w:after="140" w:line="300" w:lineRule="auto"/>
        <w:jc w:val="both"/>
      </w:pPr>
      <w:r>
        <w:rPr>
          <w:b/>
          <w:bCs/>
          <w:color w:val="1A1A1A"/>
        </w:rPr>
        <w:t>4. Die Begründung notieren.</w:t>
      </w:r>
      <w:r>
        <w:rPr>
          <w:color w:val="1A1A1A"/>
        </w:rPr>
        <w:t xml:space="preserve"> Eine Zeile je Maßnahme, mit der Quelle des Grenzwerts oder Kriteriums.</w:t>
      </w:r>
    </w:p>
    <w:p w14:paraId="31608FF7" w14:textId="77777777" w:rsidR="002B7A23" w:rsidRDefault="00000000">
      <w:pPr>
        <w:spacing w:after="140" w:line="300" w:lineRule="auto"/>
        <w:jc w:val="both"/>
      </w:pPr>
      <w:r>
        <w:rPr>
          <w:b/>
          <w:bCs/>
          <w:color w:val="1A1A1A"/>
        </w:rPr>
        <w:t>5. Die Folge für das Produkt schreiben.</w:t>
      </w:r>
      <w:r>
        <w:rPr>
          <w:color w:val="1A1A1A"/>
        </w:rPr>
        <w:t xml:space="preserve"> Für jeden kritischen Punkt: Was geschieht mit dem Teller, und wer entscheidet?</w:t>
      </w:r>
    </w:p>
    <w:p w14:paraId="607FB3F2" w14:textId="77777777" w:rsidR="002B7A23" w:rsidRDefault="00000000">
      <w:pPr>
        <w:spacing w:after="140" w:line="300" w:lineRule="auto"/>
        <w:jc w:val="both"/>
      </w:pPr>
      <w:r>
        <w:rPr>
          <w:b/>
          <w:bCs/>
          <w:color w:val="1A1A1A"/>
        </w:rPr>
        <w:t>6. Das Messgerät an den Posten bringen.</w:t>
      </w:r>
      <w:r>
        <w:rPr>
          <w:color w:val="1A1A1A"/>
        </w:rPr>
        <w:t xml:space="preserve"> Ein Thermometer, das im Büro liegt, überwacht nichts.</w:t>
      </w:r>
    </w:p>
    <w:p w14:paraId="1E27341E" w14:textId="77777777" w:rsidR="002B7A23" w:rsidRDefault="00000000">
      <w:pPr>
        <w:spacing w:after="140" w:line="300" w:lineRule="auto"/>
        <w:jc w:val="both"/>
      </w:pPr>
      <w:r>
        <w:rPr>
          <w:b/>
          <w:bCs/>
          <w:color w:val="1A1A1A"/>
        </w:rPr>
        <w:t>7. Die Karte gegen den Plan lesen.</w:t>
      </w:r>
      <w:r>
        <w:rPr>
          <w:color w:val="1A1A1A"/>
        </w:rPr>
        <w:t xml:space="preserve"> Jeder Satz der Karte, der eine Garstufe zur Wahl stellt, berührt einen Grenzwert.</w:t>
      </w:r>
    </w:p>
    <w:p w14:paraId="61071746" w14:textId="77777777" w:rsidR="002B7A23" w:rsidRDefault="00000000">
      <w:pPr>
        <w:keepNext/>
        <w:spacing w:before="260" w:after="120"/>
      </w:pPr>
      <w:r>
        <w:rPr>
          <w:b/>
          <w:bCs/>
          <w:color w:val="8C5A2B"/>
          <w:sz w:val="25"/>
          <w:szCs w:val="25"/>
        </w:rPr>
        <w:lastRenderedPageBreak/>
        <w:t>Prüf-Checkliste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324"/>
        <w:gridCol w:w="1156"/>
        <w:gridCol w:w="1156"/>
      </w:tblGrid>
      <w:tr w:rsidR="002B7A23" w14:paraId="7CA84B7F" w14:textId="77777777">
        <w:trPr>
          <w:tblHeader/>
        </w:trPr>
        <w:tc>
          <w:tcPr>
            <w:tcW w:w="7324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8C5A2B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6814B0FE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FFFFFF"/>
                <w:sz w:val="17"/>
                <w:szCs w:val="17"/>
              </w:rPr>
              <w:t>Frage</w:t>
            </w: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8C5A2B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CD6F4EF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FFFFFF"/>
                <w:sz w:val="17"/>
                <w:szCs w:val="17"/>
              </w:rPr>
              <w:t>Ja</w:t>
            </w: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8C5A2B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D7F6DE8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FFFFFF"/>
                <w:sz w:val="17"/>
                <w:szCs w:val="17"/>
              </w:rPr>
              <w:t>Nein</w:t>
            </w:r>
          </w:p>
        </w:tc>
      </w:tr>
      <w:tr w:rsidR="002B7A23" w14:paraId="56A87027" w14:textId="77777777">
        <w:trPr>
          <w:cantSplit/>
        </w:trPr>
        <w:tc>
          <w:tcPr>
            <w:tcW w:w="7324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F654EC1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1A1A1A"/>
                <w:sz w:val="17"/>
                <w:szCs w:val="17"/>
              </w:rPr>
              <w:t>Hat unser Plan höchstens so viele kritische Punkte, wie ein Koch aufzählen kann?</w:t>
            </w: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C8B39A0" w14:textId="77777777" w:rsidR="002B7A23" w:rsidRDefault="002B7A23">
            <w:pPr>
              <w:spacing w:line="260" w:lineRule="auto"/>
            </w:pP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42E7E1A" w14:textId="77777777" w:rsidR="002B7A23" w:rsidRDefault="002B7A23">
            <w:pPr>
              <w:spacing w:line="260" w:lineRule="auto"/>
            </w:pPr>
          </w:p>
        </w:tc>
      </w:tr>
      <w:tr w:rsidR="002B7A23" w14:paraId="05FC403E" w14:textId="77777777">
        <w:trPr>
          <w:cantSplit/>
        </w:trPr>
        <w:tc>
          <w:tcPr>
            <w:tcW w:w="7324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6E377AA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1A1A1A"/>
                <w:sz w:val="17"/>
                <w:szCs w:val="17"/>
              </w:rPr>
              <w:t>Hat jeder kritische Punkt einen messbaren Grenzwert mit Quelle?</w:t>
            </w: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F727306" w14:textId="77777777" w:rsidR="002B7A23" w:rsidRDefault="002B7A23">
            <w:pPr>
              <w:spacing w:line="260" w:lineRule="auto"/>
            </w:pP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4B384D8" w14:textId="77777777" w:rsidR="002B7A23" w:rsidRDefault="002B7A23">
            <w:pPr>
              <w:spacing w:line="260" w:lineRule="auto"/>
            </w:pPr>
          </w:p>
        </w:tc>
      </w:tr>
      <w:tr w:rsidR="002B7A23" w14:paraId="75880C58" w14:textId="77777777">
        <w:trPr>
          <w:cantSplit/>
        </w:trPr>
        <w:tc>
          <w:tcPr>
            <w:tcW w:w="7324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393941F9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1A1A1A"/>
                <w:sz w:val="17"/>
                <w:szCs w:val="17"/>
              </w:rPr>
              <w:t>Wird an jedem kritischen Punkt vor der Ausgabe gemessen?</w:t>
            </w: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64A4B0D1" w14:textId="77777777" w:rsidR="002B7A23" w:rsidRDefault="002B7A23">
            <w:pPr>
              <w:spacing w:line="260" w:lineRule="auto"/>
            </w:pP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D202715" w14:textId="77777777" w:rsidR="002B7A23" w:rsidRDefault="002B7A23">
            <w:pPr>
              <w:spacing w:line="260" w:lineRule="auto"/>
            </w:pPr>
          </w:p>
        </w:tc>
      </w:tr>
      <w:tr w:rsidR="002B7A23" w14:paraId="4005F034" w14:textId="77777777">
        <w:trPr>
          <w:cantSplit/>
        </w:trPr>
        <w:tc>
          <w:tcPr>
            <w:tcW w:w="7324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F4E8340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1A1A1A"/>
                <w:sz w:val="17"/>
                <w:szCs w:val="17"/>
              </w:rPr>
              <w:t>Steht bei jedem kritischen Punkt, was mit dem Produkt geschieht?</w:t>
            </w: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20E350D" w14:textId="77777777" w:rsidR="002B7A23" w:rsidRDefault="002B7A23">
            <w:pPr>
              <w:spacing w:line="260" w:lineRule="auto"/>
            </w:pP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615DE81" w14:textId="77777777" w:rsidR="002B7A23" w:rsidRDefault="002B7A23">
            <w:pPr>
              <w:spacing w:line="260" w:lineRule="auto"/>
            </w:pPr>
          </w:p>
        </w:tc>
      </w:tr>
      <w:tr w:rsidR="002B7A23" w14:paraId="0690A087" w14:textId="77777777">
        <w:trPr>
          <w:cantSplit/>
        </w:trPr>
        <w:tc>
          <w:tcPr>
            <w:tcW w:w="7324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3EDCD6AE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1A1A1A"/>
                <w:sz w:val="17"/>
                <w:szCs w:val="17"/>
              </w:rPr>
              <w:t>Haben die operativen Programme Kriterien, die messbar oder beobachtbar sind?</w:t>
            </w: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3924983E" w14:textId="77777777" w:rsidR="002B7A23" w:rsidRDefault="002B7A23">
            <w:pPr>
              <w:spacing w:line="260" w:lineRule="auto"/>
            </w:pP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BF163DB" w14:textId="77777777" w:rsidR="002B7A23" w:rsidRDefault="002B7A23">
            <w:pPr>
              <w:spacing w:line="260" w:lineRule="auto"/>
            </w:pPr>
          </w:p>
        </w:tc>
      </w:tr>
      <w:tr w:rsidR="002B7A23" w14:paraId="17CAE5C0" w14:textId="77777777">
        <w:trPr>
          <w:cantSplit/>
        </w:trPr>
        <w:tc>
          <w:tcPr>
            <w:tcW w:w="7324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56B17F5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1A1A1A"/>
                <w:sz w:val="17"/>
                <w:szCs w:val="17"/>
              </w:rPr>
              <w:t>Ist die Einordnung jeder Maßnahme begründet und aufgeschrieben?</w:t>
            </w: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88305B2" w14:textId="77777777" w:rsidR="002B7A23" w:rsidRDefault="002B7A23">
            <w:pPr>
              <w:spacing w:line="260" w:lineRule="auto"/>
            </w:pP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57E4286" w14:textId="77777777" w:rsidR="002B7A23" w:rsidRDefault="002B7A23">
            <w:pPr>
              <w:spacing w:line="260" w:lineRule="auto"/>
            </w:pPr>
          </w:p>
        </w:tc>
      </w:tr>
      <w:tr w:rsidR="002B7A23" w14:paraId="066A85B5" w14:textId="77777777">
        <w:trPr>
          <w:cantSplit/>
        </w:trPr>
        <w:tc>
          <w:tcPr>
            <w:tcW w:w="7324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DDCACC6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1A1A1A"/>
                <w:sz w:val="17"/>
                <w:szCs w:val="17"/>
              </w:rPr>
              <w:t>Liegt das Messgerät an dem Posten, an dem gemessen wird?</w:t>
            </w: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5DD0058" w14:textId="77777777" w:rsidR="002B7A23" w:rsidRDefault="002B7A23">
            <w:pPr>
              <w:spacing w:line="260" w:lineRule="auto"/>
            </w:pP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3A6316B2" w14:textId="77777777" w:rsidR="002B7A23" w:rsidRDefault="002B7A23">
            <w:pPr>
              <w:spacing w:line="260" w:lineRule="auto"/>
            </w:pPr>
          </w:p>
        </w:tc>
      </w:tr>
      <w:tr w:rsidR="002B7A23" w14:paraId="0B47D8EC" w14:textId="77777777">
        <w:trPr>
          <w:cantSplit/>
        </w:trPr>
        <w:tc>
          <w:tcPr>
            <w:tcW w:w="7324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3F981877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1A1A1A"/>
                <w:sz w:val="17"/>
                <w:szCs w:val="17"/>
              </w:rPr>
              <w:t>Widerspricht kein Satz der Karte einem Grenzwert des Plans?</w:t>
            </w: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8EF7169" w14:textId="77777777" w:rsidR="002B7A23" w:rsidRDefault="002B7A23">
            <w:pPr>
              <w:spacing w:line="260" w:lineRule="auto"/>
            </w:pP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4DE9D5E" w14:textId="77777777" w:rsidR="002B7A23" w:rsidRDefault="002B7A23">
            <w:pPr>
              <w:spacing w:line="260" w:lineRule="auto"/>
            </w:pPr>
          </w:p>
        </w:tc>
      </w:tr>
    </w:tbl>
    <w:p w14:paraId="5E598AEF" w14:textId="77777777" w:rsidR="002B7A23" w:rsidRDefault="002B7A23">
      <w:pPr>
        <w:spacing w:after="140"/>
      </w:pPr>
    </w:p>
    <w:p w14:paraId="2C33CB51" w14:textId="77777777" w:rsidR="002B7A23" w:rsidRDefault="00000000">
      <w:pPr>
        <w:keepNext/>
        <w:spacing w:before="260" w:after="120"/>
      </w:pPr>
      <w:r>
        <w:rPr>
          <w:b/>
          <w:bCs/>
          <w:color w:val="8C5A2B"/>
          <w:sz w:val="25"/>
          <w:szCs w:val="25"/>
        </w:rPr>
        <w:t>Häufige Fehler</w:t>
      </w:r>
    </w:p>
    <w:p w14:paraId="5A0BA9C2" w14:textId="77777777" w:rsidR="002B7A23" w:rsidRDefault="00000000">
      <w:pPr>
        <w:spacing w:after="140" w:line="300" w:lineRule="auto"/>
        <w:jc w:val="both"/>
      </w:pPr>
      <w:r>
        <w:rPr>
          <w:b/>
          <w:bCs/>
          <w:color w:val="1A1A1A"/>
        </w:rPr>
        <w:t>Alles kritisch nennen.</w:t>
      </w:r>
      <w:r>
        <w:rPr>
          <w:color w:val="1A1A1A"/>
        </w:rPr>
        <w:t xml:space="preserve"> Neunzehn Punkte werden zu neunzehn Kürzeln.</w:t>
      </w:r>
    </w:p>
    <w:p w14:paraId="0C7C4E52" w14:textId="77777777" w:rsidR="002B7A23" w:rsidRDefault="00000000">
      <w:pPr>
        <w:spacing w:after="140" w:line="300" w:lineRule="auto"/>
        <w:jc w:val="both"/>
      </w:pPr>
      <w:r>
        <w:rPr>
          <w:b/>
          <w:bCs/>
          <w:color w:val="1A1A1A"/>
        </w:rPr>
        <w:t>Grenzwerte in Worten.</w:t>
      </w:r>
      <w:r>
        <w:rPr>
          <w:color w:val="1A1A1A"/>
        </w:rPr>
        <w:t xml:space="preserve"> «Gründlich» und «sauber» trennen nichts.</w:t>
      </w:r>
    </w:p>
    <w:p w14:paraId="17D56746" w14:textId="77777777" w:rsidR="002B7A23" w:rsidRDefault="00000000">
      <w:pPr>
        <w:spacing w:after="140" w:line="300" w:lineRule="auto"/>
        <w:jc w:val="both"/>
      </w:pPr>
      <w:r>
        <w:rPr>
          <w:b/>
          <w:bCs/>
          <w:color w:val="1A1A1A"/>
        </w:rPr>
        <w:t>Überwachung, die zu spät antwortet.</w:t>
      </w:r>
      <w:r>
        <w:rPr>
          <w:color w:val="1A1A1A"/>
        </w:rPr>
        <w:t xml:space="preserve"> Ein Laborbefund nach einer Woche überwacht keinen Teller.</w:t>
      </w:r>
    </w:p>
    <w:p w14:paraId="70E7A6D8" w14:textId="77777777" w:rsidR="002B7A23" w:rsidRDefault="00000000">
      <w:pPr>
        <w:spacing w:after="140" w:line="300" w:lineRule="auto"/>
        <w:jc w:val="both"/>
      </w:pPr>
      <w:r>
        <w:rPr>
          <w:b/>
          <w:bCs/>
          <w:color w:val="1A1A1A"/>
        </w:rPr>
        <w:t>Korrektur ohne Produkt.</w:t>
      </w:r>
      <w:r>
        <w:rPr>
          <w:color w:val="1A1A1A"/>
        </w:rPr>
        <w:t xml:space="preserve"> Nachschulung ersetzt nicht die Entscheidung über das Blech.</w:t>
      </w:r>
    </w:p>
    <w:p w14:paraId="01F89213" w14:textId="77777777" w:rsidR="002B7A23" w:rsidRDefault="00000000">
      <w:pPr>
        <w:spacing w:after="140" w:line="300" w:lineRule="auto"/>
        <w:jc w:val="both"/>
      </w:pPr>
      <w:r>
        <w:rPr>
          <w:b/>
          <w:bCs/>
          <w:color w:val="1A1A1A"/>
        </w:rPr>
        <w:t>Operative Programme für zweitrangig halten.</w:t>
      </w:r>
      <w:r>
        <w:rPr>
          <w:color w:val="1A1A1A"/>
        </w:rPr>
        <w:t xml:space="preserve"> Sie beherrschen dieselben Gefahren.</w:t>
      </w:r>
    </w:p>
    <w:p w14:paraId="3808A211" w14:textId="77777777" w:rsidR="002B7A23" w:rsidRDefault="00000000">
      <w:pPr>
        <w:spacing w:after="140" w:line="300" w:lineRule="auto"/>
        <w:jc w:val="both"/>
      </w:pPr>
      <w:r>
        <w:rPr>
          <w:b/>
          <w:bCs/>
          <w:color w:val="1A1A1A"/>
        </w:rPr>
        <w:t>Die Karte ändern und den Plan nicht.</w:t>
      </w:r>
      <w:r>
        <w:rPr>
          <w:color w:val="1A1A1A"/>
        </w:rPr>
        <w:t xml:space="preserve"> Ein Wunsch der Gäste kann einen Grenzwert aufheben, ohne dass es jemand beschließt.</w:t>
      </w:r>
    </w:p>
    <w:p w14:paraId="3E3E44BD" w14:textId="77777777" w:rsidR="002B7A23" w:rsidRDefault="00000000">
      <w:pPr>
        <w:keepNext/>
        <w:spacing w:before="260" w:after="120"/>
      </w:pPr>
      <w:r>
        <w:rPr>
          <w:b/>
          <w:bCs/>
          <w:color w:val="8C5A2B"/>
          <w:sz w:val="25"/>
          <w:szCs w:val="25"/>
        </w:rPr>
        <w:lastRenderedPageBreak/>
        <w:t>Modellrechnung</w:t>
      </w:r>
    </w:p>
    <w:p w14:paraId="75DFD9FA" w14:textId="77777777" w:rsidR="002B7A23" w:rsidRDefault="00000000">
      <w:pPr>
        <w:keepNext/>
        <w:spacing w:before="160" w:after="90"/>
      </w:pPr>
      <w:r>
        <w:rPr>
          <w:b/>
          <w:bCs/>
          <w:color w:val="5A5A5A"/>
          <w:sz w:val="18"/>
          <w:szCs w:val="18"/>
        </w:rPr>
        <w:t>Modellannahme, kein belegter Branchenwert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19"/>
        <w:gridCol w:w="2313"/>
        <w:gridCol w:w="2504"/>
      </w:tblGrid>
      <w:tr w:rsidR="002B7A23" w14:paraId="6D0B4FFC" w14:textId="77777777">
        <w:trPr>
          <w:tblHeader/>
        </w:trPr>
        <w:tc>
          <w:tcPr>
            <w:tcW w:w="4819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8C5A2B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7BA4B6D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FFFFFF"/>
                <w:sz w:val="17"/>
                <w:szCs w:val="17"/>
              </w:rPr>
              <w:t>Posten</w:t>
            </w:r>
          </w:p>
        </w:tc>
        <w:tc>
          <w:tcPr>
            <w:tcW w:w="2313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8C5A2B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30EC54F6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FFFFFF"/>
                <w:sz w:val="17"/>
                <w:szCs w:val="17"/>
              </w:rPr>
              <w:t>Betrag</w:t>
            </w:r>
          </w:p>
        </w:tc>
        <w:tc>
          <w:tcPr>
            <w:tcW w:w="2504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8C5A2B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5843C54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FFFFFF"/>
                <w:sz w:val="17"/>
                <w:szCs w:val="17"/>
              </w:rPr>
              <w:t>Anmerkung</w:t>
            </w:r>
          </w:p>
        </w:tc>
      </w:tr>
      <w:tr w:rsidR="002B7A23" w14:paraId="26D856C3" w14:textId="77777777">
        <w:trPr>
          <w:cantSplit/>
        </w:trPr>
        <w:tc>
          <w:tcPr>
            <w:tcW w:w="4819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66085EEC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1A1A1A"/>
                <w:sz w:val="17"/>
                <w:szCs w:val="17"/>
              </w:rPr>
              <w:t>Durchsicht des Plans mit den drei Fragen, Team</w:t>
            </w:r>
          </w:p>
        </w:tc>
        <w:tc>
          <w:tcPr>
            <w:tcW w:w="2313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6A2E5E9F" w14:textId="77777777" w:rsidR="002B7A23" w:rsidRDefault="00000000">
            <w:pPr>
              <w:spacing w:line="260" w:lineRule="auto"/>
            </w:pPr>
            <w:r>
              <w:rPr>
                <w:color w:val="1A1A1A"/>
                <w:sz w:val="17"/>
                <w:szCs w:val="17"/>
              </w:rPr>
              <w:t>12 Stunden</w:t>
            </w:r>
          </w:p>
        </w:tc>
        <w:tc>
          <w:tcPr>
            <w:tcW w:w="2504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FF0E044" w14:textId="77777777" w:rsidR="002B7A23" w:rsidRDefault="00000000">
            <w:pPr>
              <w:spacing w:line="260" w:lineRule="auto"/>
            </w:pPr>
            <w:r>
              <w:rPr>
                <w:color w:val="1A1A1A"/>
                <w:sz w:val="17"/>
                <w:szCs w:val="17"/>
              </w:rPr>
              <w:t>einmalig</w:t>
            </w:r>
          </w:p>
        </w:tc>
      </w:tr>
      <w:tr w:rsidR="002B7A23" w14:paraId="32E31DC4" w14:textId="77777777">
        <w:trPr>
          <w:cantSplit/>
        </w:trPr>
        <w:tc>
          <w:tcPr>
            <w:tcW w:w="4819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4854A4F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1A1A1A"/>
                <w:sz w:val="17"/>
                <w:szCs w:val="17"/>
              </w:rPr>
              <w:t>Vier Einstichthermometer für die Posten</w:t>
            </w:r>
          </w:p>
        </w:tc>
        <w:tc>
          <w:tcPr>
            <w:tcW w:w="2313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8809FE1" w14:textId="77777777" w:rsidR="002B7A23" w:rsidRDefault="00000000">
            <w:pPr>
              <w:spacing w:line="260" w:lineRule="auto"/>
            </w:pPr>
            <w:r>
              <w:rPr>
                <w:color w:val="1A1A1A"/>
                <w:sz w:val="17"/>
                <w:szCs w:val="17"/>
              </w:rPr>
              <w:t>240 €</w:t>
            </w:r>
          </w:p>
        </w:tc>
        <w:tc>
          <w:tcPr>
            <w:tcW w:w="2504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98232CA" w14:textId="77777777" w:rsidR="002B7A23" w:rsidRDefault="00000000">
            <w:pPr>
              <w:spacing w:line="260" w:lineRule="auto"/>
            </w:pPr>
            <w:r>
              <w:rPr>
                <w:color w:val="1A1A1A"/>
                <w:sz w:val="17"/>
                <w:szCs w:val="17"/>
              </w:rPr>
              <w:t>einmalig</w:t>
            </w:r>
          </w:p>
        </w:tc>
      </w:tr>
      <w:tr w:rsidR="002B7A23" w14:paraId="35911337" w14:textId="77777777">
        <w:trPr>
          <w:cantSplit/>
        </w:trPr>
        <w:tc>
          <w:tcPr>
            <w:tcW w:w="4819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DF9AC63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1A1A1A"/>
                <w:sz w:val="17"/>
                <w:szCs w:val="17"/>
              </w:rPr>
              <w:t>Messgerät für polare Anteile im Frittierfett</w:t>
            </w:r>
          </w:p>
        </w:tc>
        <w:tc>
          <w:tcPr>
            <w:tcW w:w="2313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E57370A" w14:textId="77777777" w:rsidR="002B7A23" w:rsidRDefault="00000000">
            <w:pPr>
              <w:spacing w:line="260" w:lineRule="auto"/>
            </w:pPr>
            <w:r>
              <w:rPr>
                <w:color w:val="1A1A1A"/>
                <w:sz w:val="17"/>
                <w:szCs w:val="17"/>
              </w:rPr>
              <w:t>380 €</w:t>
            </w:r>
          </w:p>
        </w:tc>
        <w:tc>
          <w:tcPr>
            <w:tcW w:w="2504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2E77C1B" w14:textId="77777777" w:rsidR="002B7A23" w:rsidRDefault="00000000">
            <w:pPr>
              <w:spacing w:line="260" w:lineRule="auto"/>
            </w:pPr>
            <w:r>
              <w:rPr>
                <w:color w:val="1A1A1A"/>
                <w:sz w:val="17"/>
                <w:szCs w:val="17"/>
              </w:rPr>
              <w:t>einmalig</w:t>
            </w:r>
          </w:p>
        </w:tc>
      </w:tr>
      <w:tr w:rsidR="002B7A23" w14:paraId="616896CF" w14:textId="77777777">
        <w:trPr>
          <w:cantSplit/>
        </w:trPr>
        <w:tc>
          <w:tcPr>
            <w:tcW w:w="4819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99B051E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1A1A1A"/>
                <w:sz w:val="17"/>
                <w:szCs w:val="17"/>
              </w:rPr>
              <w:t>Abzeichnen von neunzehn Listen, bisher</w:t>
            </w:r>
          </w:p>
        </w:tc>
        <w:tc>
          <w:tcPr>
            <w:tcW w:w="2313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6B200518" w14:textId="77777777" w:rsidR="002B7A23" w:rsidRDefault="00000000">
            <w:pPr>
              <w:spacing w:line="260" w:lineRule="auto"/>
            </w:pPr>
            <w:r>
              <w:rPr>
                <w:color w:val="1A1A1A"/>
                <w:sz w:val="17"/>
                <w:szCs w:val="17"/>
              </w:rPr>
              <w:t>24 Stunden</w:t>
            </w:r>
          </w:p>
        </w:tc>
        <w:tc>
          <w:tcPr>
            <w:tcW w:w="2504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6706893" w14:textId="77777777" w:rsidR="002B7A23" w:rsidRDefault="00000000">
            <w:pPr>
              <w:spacing w:line="260" w:lineRule="auto"/>
            </w:pPr>
            <w:r>
              <w:rPr>
                <w:color w:val="1A1A1A"/>
                <w:sz w:val="17"/>
                <w:szCs w:val="17"/>
              </w:rPr>
              <w:t>jährlich, entfällt</w:t>
            </w:r>
          </w:p>
        </w:tc>
      </w:tr>
      <w:tr w:rsidR="002B7A23" w14:paraId="7B0F778A" w14:textId="77777777">
        <w:trPr>
          <w:cantSplit/>
        </w:trPr>
        <w:tc>
          <w:tcPr>
            <w:tcW w:w="4819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46E6103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1A1A1A"/>
                <w:sz w:val="17"/>
                <w:szCs w:val="17"/>
              </w:rPr>
              <w:t>Überwachung von drei Punkten und acht Programmen</w:t>
            </w:r>
          </w:p>
        </w:tc>
        <w:tc>
          <w:tcPr>
            <w:tcW w:w="2313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98C7374" w14:textId="77777777" w:rsidR="002B7A23" w:rsidRDefault="00000000">
            <w:pPr>
              <w:spacing w:line="260" w:lineRule="auto"/>
            </w:pPr>
            <w:r>
              <w:rPr>
                <w:color w:val="1A1A1A"/>
                <w:sz w:val="17"/>
                <w:szCs w:val="17"/>
              </w:rPr>
              <w:t>60 Stunden</w:t>
            </w:r>
          </w:p>
        </w:tc>
        <w:tc>
          <w:tcPr>
            <w:tcW w:w="2504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3C35E7EE" w14:textId="77777777" w:rsidR="002B7A23" w:rsidRDefault="00000000">
            <w:pPr>
              <w:spacing w:line="260" w:lineRule="auto"/>
            </w:pPr>
            <w:r>
              <w:rPr>
                <w:color w:val="1A1A1A"/>
                <w:sz w:val="17"/>
                <w:szCs w:val="17"/>
              </w:rPr>
              <w:t>jährlich</w:t>
            </w:r>
          </w:p>
        </w:tc>
      </w:tr>
    </w:tbl>
    <w:p w14:paraId="1B69E06C" w14:textId="77777777" w:rsidR="002B7A23" w:rsidRDefault="002B7A23">
      <w:pPr>
        <w:spacing w:after="140"/>
      </w:pPr>
    </w:p>
    <w:p>
      <w:r>
        <w:rPr>
          <w:b w:val="0"/>
          <w:i w:val="0"/>
          <w:color w:val="8C5A2B"/>
          <w:sz w:val="16"/>
        </w:rPr>
        <w:t>buecher.effedore.com · Edizioni Effedore · frei zugänglich, ohne Registrierung</w:t>
      </w:r>
    </w:p>
    <w:sectPr w:rsidR="002B7A23">
      <w:pgSz w:w="11906" w:h="16838"/>
      <w:pgMar w:top="1134" w:right="1134" w:bottom="1134" w:left="1134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F852B2" w14:textId="77777777" w:rsidR="00D81711" w:rsidRDefault="00D81711">
      <w:r>
        <w:separator/>
      </w:r>
    </w:p>
  </w:endnote>
  <w:endnote w:type="continuationSeparator" w:id="0">
    <w:p w14:paraId="5E389E2A" w14:textId="77777777" w:rsidR="00D81711" w:rsidRDefault="00D817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D7683B" w14:textId="77777777" w:rsidR="002B7A23" w:rsidRDefault="00000000">
    <w:pPr>
      <w:jc w:val="center"/>
    </w:pPr>
    <w:r>
      <w:rPr>
        <w:color w:val="1A1A1A"/>
        <w:sz w:val="18"/>
        <w:szCs w:val="18"/>
      </w:rPr>
      <w:fldChar w:fldCharType="begin"/>
    </w:r>
    <w:r>
      <w:rPr>
        <w:color w:val="1A1A1A"/>
        <w:sz w:val="18"/>
        <w:szCs w:val="18"/>
      </w:rPr>
      <w:instrText>PAGE</w:instrText>
    </w:r>
    <w:r>
      <w:rPr>
        <w:color w:val="1A1A1A"/>
        <w:sz w:val="18"/>
        <w:szCs w:val="18"/>
      </w:rPr>
      <w:fldChar w:fldCharType="separate"/>
    </w:r>
    <w:r w:rsidR="005869EA">
      <w:rPr>
        <w:noProof/>
        <w:color w:val="1A1A1A"/>
        <w:sz w:val="18"/>
        <w:szCs w:val="18"/>
      </w:rPr>
      <w:t>1</w:t>
    </w:r>
    <w:r>
      <w:rPr>
        <w:color w:val="1A1A1A"/>
        <w:sz w:val="18"/>
        <w:szCs w:val="18"/>
      </w:rPr>
      <w:fldChar w:fldCharType="end"/>
    </w:r>
  </w:p>
  <w:p w14:paraId="3FC023C8" w14:textId="77777777" w:rsidR="006D0F5F" w:rsidRDefault="006D0F5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E543CB" w14:textId="77777777" w:rsidR="00D81711" w:rsidRDefault="00D81711">
      <w:r>
        <w:separator/>
      </w:r>
    </w:p>
  </w:footnote>
  <w:footnote w:type="continuationSeparator" w:id="0">
    <w:p w14:paraId="2BEF2499" w14:textId="77777777" w:rsidR="00D81711" w:rsidRDefault="00D8171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0B900E3"/>
    <w:multiLevelType w:val="hybridMultilevel"/>
    <w:tmpl w:val="623AEAC2"/>
    <w:lvl w:ilvl="0" w:tplc="A12A4BB4">
      <w:start w:val="1"/>
      <w:numFmt w:val="bullet"/>
      <w:lvlText w:val="●"/>
      <w:lvlJc w:val="left"/>
      <w:pPr>
        <w:ind w:left="720" w:hanging="360"/>
      </w:pPr>
    </w:lvl>
    <w:lvl w:ilvl="1" w:tplc="CCD48186">
      <w:start w:val="1"/>
      <w:numFmt w:val="bullet"/>
      <w:lvlText w:val="○"/>
      <w:lvlJc w:val="left"/>
      <w:pPr>
        <w:ind w:left="1440" w:hanging="360"/>
      </w:pPr>
    </w:lvl>
    <w:lvl w:ilvl="2" w:tplc="5D88C7E0">
      <w:start w:val="1"/>
      <w:numFmt w:val="bullet"/>
      <w:lvlText w:val="■"/>
      <w:lvlJc w:val="left"/>
      <w:pPr>
        <w:ind w:left="2160" w:hanging="360"/>
      </w:pPr>
    </w:lvl>
    <w:lvl w:ilvl="3" w:tplc="6428CC3E">
      <w:start w:val="1"/>
      <w:numFmt w:val="bullet"/>
      <w:lvlText w:val="●"/>
      <w:lvlJc w:val="left"/>
      <w:pPr>
        <w:ind w:left="2880" w:hanging="360"/>
      </w:pPr>
    </w:lvl>
    <w:lvl w:ilvl="4" w:tplc="F7981C46">
      <w:start w:val="1"/>
      <w:numFmt w:val="bullet"/>
      <w:lvlText w:val="○"/>
      <w:lvlJc w:val="left"/>
      <w:pPr>
        <w:ind w:left="3600" w:hanging="360"/>
      </w:pPr>
    </w:lvl>
    <w:lvl w:ilvl="5" w:tplc="2C3C69B4">
      <w:start w:val="1"/>
      <w:numFmt w:val="bullet"/>
      <w:lvlText w:val="■"/>
      <w:lvlJc w:val="left"/>
      <w:pPr>
        <w:ind w:left="4320" w:hanging="360"/>
      </w:pPr>
    </w:lvl>
    <w:lvl w:ilvl="6" w:tplc="B3A67A10">
      <w:start w:val="1"/>
      <w:numFmt w:val="bullet"/>
      <w:lvlText w:val="●"/>
      <w:lvlJc w:val="left"/>
      <w:pPr>
        <w:ind w:left="5040" w:hanging="360"/>
      </w:pPr>
    </w:lvl>
    <w:lvl w:ilvl="7" w:tplc="59BC04B8">
      <w:start w:val="1"/>
      <w:numFmt w:val="bullet"/>
      <w:lvlText w:val="●"/>
      <w:lvlJc w:val="left"/>
      <w:pPr>
        <w:ind w:left="5760" w:hanging="360"/>
      </w:pPr>
    </w:lvl>
    <w:lvl w:ilvl="8" w:tplc="6FBC0F20">
      <w:start w:val="1"/>
      <w:numFmt w:val="bullet"/>
      <w:lvlText w:val="●"/>
      <w:lvlJc w:val="left"/>
      <w:pPr>
        <w:ind w:left="6480" w:hanging="360"/>
      </w:pPr>
    </w:lvl>
  </w:abstractNum>
  <w:num w:numId="1" w16cid:durableId="380053663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7A23"/>
    <w:rsid w:val="002B7A23"/>
    <w:rsid w:val="00315269"/>
    <w:rsid w:val="005869EA"/>
    <w:rsid w:val="00587E7A"/>
    <w:rsid w:val="00652B05"/>
    <w:rsid w:val="006D0F5F"/>
    <w:rsid w:val="007A7E2B"/>
    <w:rsid w:val="00A41B54"/>
    <w:rsid w:val="00A57137"/>
    <w:rsid w:val="00A65666"/>
    <w:rsid w:val="00B25466"/>
    <w:rsid w:val="00C13BB2"/>
    <w:rsid w:val="00D64CE3"/>
    <w:rsid w:val="00D73F7B"/>
    <w:rsid w:val="00D81711"/>
    <w:rsid w:val="00E0417D"/>
    <w:rsid w:val="00FD1C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8F9D90"/>
  <w15:docId w15:val="{1143494F-7776-4023-8580-C88F5C88C9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ptos" w:eastAsia="Aptos" w:hAnsi="Aptos" w:cs="Aptos"/>
        <w:sz w:val="21"/>
        <w:szCs w:val="21"/>
        <w:lang w:val="de-DE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uiPriority w:val="9"/>
    <w:qFormat/>
    <w:pPr>
      <w:outlineLvl w:val="0"/>
    </w:pPr>
    <w:rPr>
      <w:b/>
      <w:bCs/>
      <w:color w:val="002060"/>
      <w:sz w:val="36"/>
      <w:szCs w:val="36"/>
    </w:rPr>
  </w:style>
  <w:style w:type="paragraph" w:styleId="Titolo2">
    <w:name w:val="heading 2"/>
    <w:uiPriority w:val="9"/>
    <w:unhideWhenUsed/>
    <w:qFormat/>
    <w:pPr>
      <w:outlineLvl w:val="1"/>
    </w:pPr>
    <w:rPr>
      <w:b/>
      <w:bCs/>
      <w:color w:val="002060"/>
      <w:sz w:val="30"/>
      <w:szCs w:val="30"/>
    </w:rPr>
  </w:style>
  <w:style w:type="paragraph" w:styleId="Titolo3">
    <w:name w:val="heading 3"/>
    <w:uiPriority w:val="9"/>
    <w:semiHidden/>
    <w:unhideWhenUsed/>
    <w:qFormat/>
    <w:pPr>
      <w:outlineLvl w:val="2"/>
    </w:pPr>
    <w:rPr>
      <w:b/>
      <w:bCs/>
      <w:color w:val="002060"/>
      <w:sz w:val="24"/>
      <w:szCs w:val="24"/>
    </w:rPr>
  </w:style>
  <w:style w:type="paragraph" w:styleId="Tito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o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ito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uiPriority w:val="10"/>
    <w:qFormat/>
    <w:rPr>
      <w:sz w:val="56"/>
      <w:szCs w:val="56"/>
    </w:rPr>
  </w:style>
  <w:style w:type="paragraph" w:customStyle="1" w:styleId="Enfasigrassetto1">
    <w:name w:val="Enfasi (grassetto)1"/>
    <w:qFormat/>
    <w:rPr>
      <w:b/>
      <w:bCs/>
    </w:rPr>
  </w:style>
  <w:style w:type="paragraph" w:styleId="Paragrafoelenco">
    <w:name w:val="List Paragraph"/>
    <w:qFormat/>
  </w:style>
  <w:style w:type="character" w:styleId="Collegamentoipertestuale">
    <w:name w:val="Hyperlink"/>
    <w:uiPriority w:val="99"/>
    <w:unhideWhenUsed/>
    <w:rPr>
      <w:color w:val="0563C1"/>
      <w:u w:val="single"/>
    </w:rPr>
  </w:style>
  <w:style w:type="character" w:styleId="Rimandonotaapidipagina">
    <w:name w:val="footnote reference"/>
    <w:uiPriority w:val="99"/>
    <w:semiHidden/>
    <w:unhideWhenUsed/>
    <w:rPr>
      <w:vertAlign w:val="superscript"/>
    </w:rPr>
  </w:style>
  <w:style w:type="paragraph" w:styleId="Testonotaapidipagina">
    <w:name w:val="footnote text"/>
    <w:link w:val="TestonotaapidipaginaCarattere"/>
    <w:uiPriority w:val="99"/>
    <w:semiHidden/>
    <w:unhideWhenUsed/>
    <w:rPr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uiPriority w:val="99"/>
    <w:semiHidden/>
    <w:unhideWhenUsed/>
    <w:rPr>
      <w:sz w:val="20"/>
      <w:szCs w:val="20"/>
    </w:rPr>
  </w:style>
  <w:style w:type="character" w:styleId="Rimandonotadichiusura">
    <w:name w:val="endnote reference"/>
    <w:uiPriority w:val="99"/>
    <w:semiHidden/>
    <w:unhideWhenUsed/>
    <w:rPr>
      <w:vertAlign w:val="superscript"/>
    </w:rPr>
  </w:style>
  <w:style w:type="paragraph" w:styleId="Testonotadichiusura">
    <w:name w:val="endnote text"/>
    <w:link w:val="TestonotadichiusuraCarattere"/>
    <w:uiPriority w:val="99"/>
    <w:semiHidden/>
    <w:unhideWhenUsed/>
    <w:rPr>
      <w:sz w:val="20"/>
      <w:szCs w:val="20"/>
    </w:rPr>
  </w:style>
  <w:style w:type="character" w:customStyle="1" w:styleId="TestonotadichiusuraCarattere">
    <w:name w:val="Testo nota di chiusura Carattere"/>
    <w:link w:val="Testonotadichiusura"/>
    <w:uiPriority w:val="99"/>
    <w:semiHidden/>
    <w:unhideWhenUsed/>
    <w:rPr>
      <w:sz w:val="20"/>
      <w:szCs w:val="20"/>
    </w:rPr>
  </w:style>
  <w:style w:type="paragraph" w:styleId="Sommario1">
    <w:name w:val="toc 1"/>
    <w:basedOn w:val="Normale"/>
    <w:next w:val="Normale"/>
    <w:autoRedefine/>
    <w:uiPriority w:val="39"/>
    <w:unhideWhenUsed/>
    <w:rsid w:val="005869EA"/>
    <w:pPr>
      <w:spacing w:after="100"/>
    </w:pPr>
  </w:style>
  <w:style w:type="paragraph" w:styleId="Sommario2">
    <w:name w:val="toc 2"/>
    <w:basedOn w:val="Normale"/>
    <w:next w:val="Normale"/>
    <w:autoRedefine/>
    <w:uiPriority w:val="39"/>
    <w:unhideWhenUsed/>
    <w:rsid w:val="005869EA"/>
    <w:pPr>
      <w:spacing w:after="100"/>
      <w:ind w:left="210"/>
    </w:pPr>
  </w:style>
  <w:style w:type="paragraph" w:styleId="Titolosommario">
    <w:name w:val="TOC Heading"/>
    <w:basedOn w:val="Titolo1"/>
    <w:next w:val="Normale"/>
    <w:uiPriority w:val="39"/>
    <w:unhideWhenUsed/>
    <w:qFormat/>
    <w:rsid w:val="005869EA"/>
    <w:pPr>
      <w:keepNext/>
      <w:keepLines/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0F4761" w:themeColor="accent1" w:themeShade="BF"/>
      <w:sz w:val="32"/>
      <w:szCs w:val="32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014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06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'1.0' encoding='UTF-8' standalone='yes'?>
<Relationships xmlns="http://schemas.openxmlformats.org/package/2006/relationships"><Relationship Id="rId42" Type="http://schemas.openxmlformats.org/officeDocument/2006/relationships/theme" Target="theme/theme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41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40" Type="http://schemas.openxmlformats.org/officeDocument/2006/relationships/footer" Target="footer1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6DD144-2B70-4371-A4B4-31C56BA365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553</Pages>
  <Words>148706</Words>
  <Characters>847625</Characters>
  <Application>Microsoft Office Word</Application>
  <DocSecurity>0</DocSecurity>
  <Lines>7063</Lines>
  <Paragraphs>1988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Das Steuer und die Lupe — Band 6a — ISO 22000 — Das Vertrauen am Tisch</vt:lpstr>
    </vt:vector>
  </TitlesOfParts>
  <Company/>
  <LinksUpToDate>false</LinksUpToDate>
  <CharactersWithSpaces>994343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Das Steuer und die Lupe — Band 6a — ISO 22000 — Das Vertrauen am Tisch</dc:title>
  <dc:creator>Francesco Dore</dc:creator>
  <cp:lastModifiedBy>Francesco Dore</cp:lastModifiedBy>
  <cp:revision>2</cp:revision>
  <cp:lastPrinted>2026-10-03T15:03:00Z</cp:lastPrinted>
  <dcterms:created xsi:type="dcterms:W3CDTF">2026-10-20T01:07:00Z</dcterms:created>
  <dcterms:modified xsi:type="dcterms:W3CDTF">2026-10-20T01:07:00Z</dcterms:modified>
</cp:coreProperties>
</file>