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11C7F3C1" w14:textId="77777777" w:rsidR="002B7A23" w:rsidRDefault="00000000">
      <w:pPr>
        <w:pStyle w:val="Titolo2"/>
        <w:spacing w:after="200" w:line="340" w:lineRule="auto"/>
      </w:pPr>
      <w:bookmarkStart w:id="48" w:name="_Toc241934058"/>
      <w:bookmarkStart w:id="49" w:name="_Toc241939327"/>
      <w:r>
        <w:lastRenderedPageBreak/>
        <w:t>2.8 Rückverfolgbarkeit und der Rückruf, der die Küche erreicht</w:t>
      </w:r>
      <w:bookmarkEnd w:id="48"/>
      <w:bookmarkEnd w:id="49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2EA769BA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Spur in sieben Schritten sichern</w:t>
      </w:r>
    </w:p>
    <w:p w14:paraId="678FD42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Pilotliste festlegen.</w:t>
      </w:r>
      <w:r>
        <w:rPr>
          <w:color w:val="1A1A1A"/>
        </w:rPr>
        <w:t xml:space="preserve"> Zehn bis fünfzehn Artikel, die ohne abtötenden Schritt auf den Teller kommen. Sie sind der Anfang, nicht die Grenze der Rückverfolgbarkeit.</w:t>
      </w:r>
    </w:p>
    <w:p w14:paraId="13CA658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Charge bei der Annahme festhalten.</w:t>
      </w:r>
      <w:r>
        <w:rPr>
          <w:color w:val="1A1A1A"/>
        </w:rPr>
        <w:t xml:space="preserve"> Ein Foto des Etiketts, abgelegt nach Datum.</w:t>
      </w:r>
    </w:p>
    <w:p w14:paraId="56A6074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Charge beim Umfüllen mitnehmen.</w:t>
      </w:r>
      <w:r>
        <w:rPr>
          <w:color w:val="1A1A1A"/>
        </w:rPr>
        <w:t xml:space="preserve"> Etikett in den Behälter oder Charge auf den Aufkleber.</w:t>
      </w:r>
    </w:p>
    <w:p w14:paraId="3A72AFD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Verwendung notieren.</w:t>
      </w:r>
      <w:r>
        <w:rPr>
          <w:color w:val="1A1A1A"/>
        </w:rPr>
        <w:t xml:space="preserve"> Eine Zeile am Tag: Charge, Gericht oder Anlass. Auch für Zwischenprodukte.</w:t>
      </w:r>
    </w:p>
    <w:p w14:paraId="5CD1DFD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5. Den Empfänger benennen.</w:t>
      </w:r>
      <w:r>
        <w:rPr>
          <w:color w:val="1A1A1A"/>
        </w:rPr>
        <w:t xml:space="preserve"> Eine Adresse, die täglich gelesen wird, und die amtlichen Warnungen auf zwei Telefonen.</w:t>
      </w:r>
    </w:p>
    <w:p w14:paraId="7A862A0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Das Blatt für die erste Stunde schreiben.</w:t>
      </w:r>
      <w:r>
        <w:rPr>
          <w:color w:val="1A1A1A"/>
        </w:rPr>
        <w:t xml:space="preserve"> Sperren, zählen, Verwendung feststellen, Leitung und Behörde unterrichten.</w:t>
      </w:r>
    </w:p>
    <w:p w14:paraId="08073B5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Einmal im Jahr üben.</w:t>
      </w:r>
      <w:r>
        <w:rPr>
          <w:color w:val="1A1A1A"/>
        </w:rPr>
        <w:t xml:space="preserve"> Eine Charge von vor drei Wochen, vier Fragen, eine Uhr, ein Abgleich der Mengen.</w:t>
      </w:r>
    </w:p>
    <w:p w14:paraId="187C488F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6F534EEE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F8422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0ED8D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A08D2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5832FD9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07EAC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Erreicht ein Rückruf am Samstag jemanden im Haus?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C6F14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22AC27" w14:textId="77777777" w:rsidR="002B7A23" w:rsidRDefault="002B7A23">
            <w:pPr>
              <w:spacing w:line="260" w:lineRule="auto"/>
            </w:pPr>
          </w:p>
        </w:tc>
      </w:tr>
      <w:tr w:rsidR="002B7A23" w14:paraId="7100341B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37E7F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wir die amtlichen Warnungen abonniert?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C9F11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324EA7" w14:textId="77777777" w:rsidR="002B7A23" w:rsidRDefault="002B7A23">
            <w:pPr>
              <w:spacing w:line="260" w:lineRule="auto"/>
            </w:pPr>
          </w:p>
        </w:tc>
      </w:tr>
      <w:tr w:rsidR="002B7A23" w14:paraId="412104C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DBEF0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eine Liste der Artikel, deren Charge wir festhalten?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6E1698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659564" w14:textId="77777777" w:rsidR="002B7A23" w:rsidRDefault="002B7A23">
            <w:pPr>
              <w:spacing w:line="260" w:lineRule="auto"/>
            </w:pPr>
          </w:p>
        </w:tc>
      </w:tr>
      <w:tr w:rsidR="002B7A23" w14:paraId="48E9831C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C226C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Bleibt die Charge beim Umfüllen erhalten?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55A4B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9DAC57" w14:textId="77777777" w:rsidR="002B7A23" w:rsidRDefault="002B7A23">
            <w:pPr>
              <w:spacing w:line="260" w:lineRule="auto"/>
            </w:pPr>
          </w:p>
        </w:tc>
      </w:tr>
      <w:tr w:rsidR="002B7A23" w14:paraId="39DEDC9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57AC9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Können wir für diese Artikel sagen, an welchem Tag sie wohin gingen?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856B35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6EB33C" w14:textId="77777777" w:rsidR="002B7A23" w:rsidRDefault="002B7A23">
            <w:pPr>
              <w:spacing w:line="260" w:lineRule="auto"/>
            </w:pPr>
          </w:p>
        </w:tc>
      </w:tr>
      <w:tr w:rsidR="002B7A23" w14:paraId="45C4EFE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C2486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Reicht unsere Aufbewahrungsfrist über Wochen und nicht nur über Tage?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5F86C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C3774F" w14:textId="77777777" w:rsidR="002B7A23" w:rsidRDefault="002B7A23">
            <w:pPr>
              <w:spacing w:line="260" w:lineRule="auto"/>
            </w:pPr>
          </w:p>
        </w:tc>
      </w:tr>
      <w:tr w:rsidR="002B7A23" w14:paraId="778DEBC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33974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Können wir unsere Lieferungen binnen 24 Stunden als Datei übermitteln?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405BE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11D10E" w14:textId="77777777" w:rsidR="002B7A23" w:rsidRDefault="002B7A23">
            <w:pPr>
              <w:spacing w:line="260" w:lineRule="auto"/>
            </w:pPr>
          </w:p>
        </w:tc>
      </w:tr>
      <w:tr w:rsidR="002B7A23" w14:paraId="13A5667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9A845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wir im letzten Jahr eine Rücknahme geübt?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D3B1A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544344" w14:textId="77777777" w:rsidR="002B7A23" w:rsidRDefault="002B7A23">
            <w:pPr>
              <w:spacing w:line="260" w:lineRule="auto"/>
            </w:pPr>
          </w:p>
        </w:tc>
      </w:tr>
    </w:tbl>
    <w:p w14:paraId="4B599AA2" w14:textId="77777777" w:rsidR="002B7A23" w:rsidRDefault="002B7A23">
      <w:pPr>
        <w:spacing w:after="140"/>
      </w:pPr>
    </w:p>
    <w:p w14:paraId="478E0ECB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2FDA68B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Warnung an ein Postfach schicken lassen.</w:t>
      </w:r>
      <w:r>
        <w:rPr>
          <w:color w:val="1A1A1A"/>
        </w:rPr>
        <w:t xml:space="preserve"> Postfächer haben Bürozeiten.</w:t>
      </w:r>
    </w:p>
    <w:p w14:paraId="68EF648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Lieferscheine für Rückverfolgbarkeit halten.</w:t>
      </w:r>
      <w:r>
        <w:rPr>
          <w:color w:val="1A1A1A"/>
        </w:rPr>
        <w:t xml:space="preserve"> Sie nennen den Artikel, nicht die Charge.</w:t>
      </w:r>
    </w:p>
    <w:p w14:paraId="42F0968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Umfüllen und nur das Datum notieren.</w:t>
      </w:r>
      <w:r>
        <w:rPr>
          <w:color w:val="1A1A1A"/>
        </w:rPr>
        <w:t xml:space="preserve"> Die Herkunft geht beim ersten Handgriff verloren.</w:t>
      </w:r>
    </w:p>
    <w:p w14:paraId="22CB090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Zwischenprodukte vergessen.</w:t>
      </w:r>
      <w:r>
        <w:rPr>
          <w:color w:val="1A1A1A"/>
        </w:rPr>
        <w:t xml:space="preserve"> Coulis, Fonds und Saucen tragen die Charge weiter.</w:t>
      </w:r>
    </w:p>
    <w:p w14:paraId="6225A7B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Aufzeichnungen nach einer Woche wegwerfen.</w:t>
      </w:r>
      <w:r>
        <w:rPr>
          <w:color w:val="1A1A1A"/>
        </w:rPr>
        <w:t xml:space="preserve"> Manche Fragen kommen nach einem Monat.</w:t>
      </w:r>
    </w:p>
    <w:p w14:paraId="59A0A37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Nie üben.</w:t>
      </w:r>
      <w:r>
        <w:rPr>
          <w:color w:val="1A1A1A"/>
        </w:rPr>
        <w:t xml:space="preserve"> Dann ist der Ernstfall die erste Probe.</w:t>
      </w:r>
    </w:p>
    <w:p w14:paraId="02AD34EE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49D43041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255024FD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4C046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50FB1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BE8DB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14D9537F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A7C08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Festhalten der Charge für zwölf Artikel, zwei Minuten täglich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919A8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12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E1788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1AEC1A2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64E63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Jährliche Übung mit Auswertung, drei Personen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E06C7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AF3E0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4B62297B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B3B15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Einrichten der Liste, des Blatts und der Abonnements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A8384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8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836FB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43C51A97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DE37A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Briefe an 2.600 statt 800 Gäste, Porto und Arbeit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094DE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3.600 €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FE105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vermieden</w:t>
            </w:r>
          </w:p>
        </w:tc>
      </w:tr>
      <w:tr w:rsidR="002B7A23" w14:paraId="057D53E4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99F5E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Export der Lieferdaten als Tabelle einrichten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7BCA6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11AF4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</w:tbl>
    <w:p w14:paraId="34080E4C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