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val="0"/>
          <w:i w:val="0"/>
          <w:color w:val="8C5A2B"/>
          <w:sz w:val="18"/>
        </w:rPr>
        <w:t>Das Steuer und die Lupe · Band 6a · ISO 22000 — Anhang</w:t>
      </w:r>
    </w:p>
    <w:p w14:paraId="0EB86E0F" w14:textId="77777777" w:rsidR="002B7A23" w:rsidRDefault="00000000">
      <w:pPr>
        <w:pStyle w:val="Titolo2"/>
        <w:spacing w:after="160" w:line="340" w:lineRule="auto"/>
      </w:pPr>
      <w:bookmarkStart w:id="74" w:name="_Toc241934071"/>
      <w:bookmarkStart w:id="75" w:name="_Toc241939340"/>
      <w:r>
        <w:lastRenderedPageBreak/>
        <w:t>Anhang D — Die Schleuse für Änderungen</w:t>
      </w:r>
      <w:bookmarkEnd w:id="74"/>
      <w:bookmarkEnd w:id="75"/>
    </w:p>
    <w:p w14:paraId="5462F297" w14:textId="77777777" w:rsidR="002B7A23" w:rsidRDefault="00000000">
      <w:pPr>
        <w:keepNext/>
        <w:spacing w:before="280" w:after="120"/>
      </w:pPr>
      <w:r>
        <w:rPr>
          <w:b/>
          <w:bCs/>
          <w:color w:val="8C5A2B"/>
          <w:sz w:val="28"/>
          <w:szCs w:val="28"/>
        </w:rPr>
        <w:t>Vier Fragen, die eine Änderung beantwortet, bevor sie den Teller erreicht</w:t>
      </w:r>
    </w:p>
    <w:p w14:paraId="73016D15" w14:textId="77777777" w:rsidR="002B7A23" w:rsidRDefault="00000000">
      <w:pPr>
        <w:spacing w:after="140" w:line="300" w:lineRule="auto"/>
        <w:jc w:val="both"/>
      </w:pPr>
      <w:r>
        <w:rPr>
          <w:color w:val="1A1A1A"/>
        </w:rPr>
        <w:t>Ein Hotel ändert sein Essen weit öfter als eine Fabrik, und die meisten Änderungen sehen nicht wie Entscheidungen über Lebensmittelsicherheit aus: eine neue Karte, ein neuer Lieferant, ein Brunch, ein Umbau, eine neue Küchenleitung, ein Vertrag mit einem neuen Kunden. Die Schleuse ist die Stelle, durch die jede von ihnen geht, bevor sie wirkt. Sie ist kein Ausschuss. In den meisten Häusern ist sie eine Seite, ausgefüllt von dem, der die Änderung vorschlägt, und gelesen vom Leiter des Teams.</w:t>
      </w:r>
    </w:p>
    <w:p w14:paraId="18C2C3DB" w14:textId="77777777" w:rsidR="002B7A23" w:rsidRDefault="00000000">
      <w:pPr>
        <w:keepNext/>
        <w:spacing w:before="200" w:after="90"/>
      </w:pPr>
      <w:r>
        <w:rPr>
          <w:b/>
          <w:bCs/>
          <w:color w:val="002060"/>
          <w:sz w:val="23"/>
          <w:szCs w:val="23"/>
        </w:rPr>
        <w:t>Was durch die Schleuse geht</w:t>
      </w:r>
    </w:p>
    <w:p w14:paraId="02E05A8A" w14:textId="77777777" w:rsidR="002B7A23" w:rsidRDefault="00000000">
      <w:pPr>
        <w:keepNext/>
        <w:spacing w:before="160" w:after="90"/>
      </w:pPr>
      <w:r>
        <w:rPr>
          <w:b/>
          <w:bCs/>
          <w:color w:val="5A5A5A"/>
          <w:sz w:val="18"/>
          <w:szCs w:val="18"/>
        </w:rPr>
        <w:t>Tabelle D.1 — Die Auslöser, auf einer halben Seite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48"/>
        <w:gridCol w:w="5589"/>
      </w:tblGrid>
      <w:tr w:rsidR="002B7A23" w14:paraId="31EAE2BA" w14:textId="77777777">
        <w:trPr>
          <w:tblHeader/>
        </w:trPr>
        <w:tc>
          <w:tcPr>
            <w:tcW w:w="40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3FE1986" w14:textId="77777777" w:rsidR="002B7A23" w:rsidRDefault="00000000">
            <w:pPr>
              <w:spacing w:line="260" w:lineRule="auto"/>
            </w:pPr>
            <w:r>
              <w:rPr>
                <w:b/>
                <w:bCs/>
                <w:color w:val="FFFFFF"/>
                <w:sz w:val="17"/>
                <w:szCs w:val="17"/>
              </w:rPr>
              <w:t>Änderung</w:t>
            </w:r>
          </w:p>
        </w:tc>
        <w:tc>
          <w:tcPr>
            <w:tcW w:w="558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6262F20" w14:textId="77777777" w:rsidR="002B7A23" w:rsidRDefault="00000000">
            <w:pPr>
              <w:spacing w:line="260" w:lineRule="auto"/>
            </w:pPr>
            <w:r>
              <w:rPr>
                <w:b/>
                <w:bCs/>
                <w:color w:val="FFFFFF"/>
                <w:sz w:val="17"/>
                <w:szCs w:val="17"/>
              </w:rPr>
              <w:t>Warum sie die Lebensmittelsicherheit betrifft</w:t>
            </w:r>
          </w:p>
        </w:tc>
      </w:tr>
      <w:tr w:rsidR="002B7A23" w14:paraId="005BEA2E" w14:textId="77777777">
        <w:trPr>
          <w:cantSplit/>
        </w:trPr>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08B60A" w14:textId="77777777" w:rsidR="002B7A23" w:rsidRDefault="00000000">
            <w:pPr>
              <w:spacing w:line="260" w:lineRule="auto"/>
            </w:pPr>
            <w:r>
              <w:rPr>
                <w:b/>
                <w:bCs/>
                <w:color w:val="1A1A1A"/>
                <w:sz w:val="17"/>
                <w:szCs w:val="17"/>
              </w:rPr>
              <w:t>Ein neues Gericht oder eine neue Karte</w:t>
            </w:r>
          </w:p>
        </w:tc>
        <w:tc>
          <w:tcPr>
            <w:tcW w:w="55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3C6783" w14:textId="77777777" w:rsidR="002B7A23" w:rsidRDefault="00000000">
            <w:pPr>
              <w:spacing w:line="260" w:lineRule="auto"/>
            </w:pPr>
            <w:r>
              <w:rPr>
                <w:color w:val="1A1A1A"/>
                <w:sz w:val="17"/>
                <w:szCs w:val="17"/>
              </w:rPr>
              <w:t>neue Zutaten, Abläufe, Gefahren, Allergene</w:t>
            </w:r>
          </w:p>
        </w:tc>
      </w:tr>
      <w:tr w:rsidR="002B7A23" w14:paraId="5D906446" w14:textId="77777777">
        <w:trPr>
          <w:cantSplit/>
        </w:trPr>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33952A" w14:textId="77777777" w:rsidR="002B7A23" w:rsidRDefault="00000000">
            <w:pPr>
              <w:spacing w:line="260" w:lineRule="auto"/>
            </w:pPr>
            <w:r>
              <w:rPr>
                <w:b/>
                <w:bCs/>
                <w:color w:val="1A1A1A"/>
                <w:sz w:val="17"/>
                <w:szCs w:val="17"/>
              </w:rPr>
              <w:t>Eine neue Zutat oder ein Ersatzartikel</w:t>
            </w:r>
          </w:p>
        </w:tc>
        <w:tc>
          <w:tcPr>
            <w:tcW w:w="55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EE5DC7" w14:textId="77777777" w:rsidR="002B7A23" w:rsidRDefault="00000000">
            <w:pPr>
              <w:spacing w:line="260" w:lineRule="auto"/>
            </w:pPr>
            <w:r>
              <w:rPr>
                <w:color w:val="1A1A1A"/>
                <w:sz w:val="17"/>
                <w:szCs w:val="17"/>
              </w:rPr>
              <w:t>andere Zusammensetzung, Herkunft und Haltbarkeit</w:t>
            </w:r>
          </w:p>
        </w:tc>
      </w:tr>
      <w:tr w:rsidR="002B7A23" w14:paraId="427597A4" w14:textId="77777777">
        <w:trPr>
          <w:cantSplit/>
        </w:trPr>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63A820" w14:textId="77777777" w:rsidR="002B7A23" w:rsidRDefault="00000000">
            <w:pPr>
              <w:spacing w:line="260" w:lineRule="auto"/>
            </w:pPr>
            <w:r>
              <w:rPr>
                <w:b/>
                <w:bCs/>
                <w:color w:val="1A1A1A"/>
                <w:sz w:val="17"/>
                <w:szCs w:val="17"/>
              </w:rPr>
              <w:t>Ein neuer Lieferant</w:t>
            </w:r>
          </w:p>
        </w:tc>
        <w:tc>
          <w:tcPr>
            <w:tcW w:w="55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358D2C" w14:textId="77777777" w:rsidR="002B7A23" w:rsidRDefault="00000000">
            <w:pPr>
              <w:spacing w:line="260" w:lineRule="auto"/>
            </w:pPr>
            <w:r>
              <w:rPr>
                <w:color w:val="1A1A1A"/>
                <w:sz w:val="17"/>
                <w:szCs w:val="17"/>
              </w:rPr>
              <w:t>Rohstoffe ohne Vereinbarung und ohne Bewertung</w:t>
            </w:r>
          </w:p>
        </w:tc>
      </w:tr>
      <w:tr w:rsidR="002B7A23" w14:paraId="738735CF" w14:textId="77777777">
        <w:trPr>
          <w:cantSplit/>
        </w:trPr>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47536F" w14:textId="77777777" w:rsidR="002B7A23" w:rsidRDefault="00000000">
            <w:pPr>
              <w:spacing w:line="260" w:lineRule="auto"/>
            </w:pPr>
            <w:r>
              <w:rPr>
                <w:b/>
                <w:bCs/>
                <w:color w:val="1A1A1A"/>
                <w:sz w:val="17"/>
                <w:szCs w:val="17"/>
              </w:rPr>
              <w:t>Ein neues Gerät oder ein Umbau</w:t>
            </w:r>
          </w:p>
        </w:tc>
        <w:tc>
          <w:tcPr>
            <w:tcW w:w="55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588F89" w14:textId="77777777" w:rsidR="002B7A23" w:rsidRDefault="00000000">
            <w:pPr>
              <w:spacing w:line="260" w:lineRule="auto"/>
            </w:pPr>
            <w:r>
              <w:rPr>
                <w:color w:val="1A1A1A"/>
                <w:sz w:val="17"/>
                <w:szCs w:val="17"/>
              </w:rPr>
              <w:t>neue Wege, Kapazitäten, Temperaturen, Reinigung</w:t>
            </w:r>
          </w:p>
        </w:tc>
      </w:tr>
      <w:tr w:rsidR="002B7A23" w14:paraId="12FDDF2F" w14:textId="77777777">
        <w:trPr>
          <w:cantSplit/>
        </w:trPr>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5284B80" w14:textId="77777777" w:rsidR="002B7A23" w:rsidRDefault="00000000">
            <w:pPr>
              <w:spacing w:line="260" w:lineRule="auto"/>
            </w:pPr>
            <w:r>
              <w:rPr>
                <w:b/>
                <w:bCs/>
                <w:color w:val="1A1A1A"/>
                <w:sz w:val="17"/>
                <w:szCs w:val="17"/>
              </w:rPr>
              <w:t>Ein neues Verfahren</w:t>
            </w:r>
          </w:p>
        </w:tc>
        <w:tc>
          <w:tcPr>
            <w:tcW w:w="55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E52660" w14:textId="77777777" w:rsidR="002B7A23" w:rsidRDefault="00000000">
            <w:pPr>
              <w:spacing w:line="260" w:lineRule="auto"/>
            </w:pPr>
            <w:r>
              <w:rPr>
                <w:color w:val="1A1A1A"/>
                <w:sz w:val="17"/>
                <w:szCs w:val="17"/>
              </w:rPr>
              <w:t>eine Maßnahme, die vor dem ersten Teller validiert sein muss</w:t>
            </w:r>
          </w:p>
        </w:tc>
      </w:tr>
      <w:tr w:rsidR="002B7A23" w14:paraId="1A25635F" w14:textId="77777777">
        <w:trPr>
          <w:cantSplit/>
        </w:trPr>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67CB4B" w14:textId="77777777" w:rsidR="002B7A23" w:rsidRDefault="00000000">
            <w:pPr>
              <w:spacing w:line="260" w:lineRule="auto"/>
            </w:pPr>
            <w:r>
              <w:rPr>
                <w:b/>
                <w:bCs/>
                <w:color w:val="1A1A1A"/>
                <w:sz w:val="17"/>
                <w:szCs w:val="17"/>
              </w:rPr>
              <w:t>Ein neuer Ort oder ein neues Format der Ausgabe</w:t>
            </w:r>
          </w:p>
        </w:tc>
        <w:tc>
          <w:tcPr>
            <w:tcW w:w="55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EEBF16" w14:textId="77777777" w:rsidR="002B7A23" w:rsidRDefault="00000000">
            <w:pPr>
              <w:spacing w:line="260" w:lineRule="auto"/>
            </w:pPr>
            <w:r>
              <w:rPr>
                <w:color w:val="1A1A1A"/>
                <w:sz w:val="17"/>
                <w:szCs w:val="17"/>
              </w:rPr>
              <w:t>neue Standzeiten, Mengen, Wege und Gäste</w:t>
            </w:r>
          </w:p>
        </w:tc>
      </w:tr>
      <w:tr w:rsidR="002B7A23" w14:paraId="7E51AA60" w14:textId="77777777">
        <w:trPr>
          <w:cantSplit/>
        </w:trPr>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61E5B7" w14:textId="77777777" w:rsidR="002B7A23" w:rsidRDefault="00000000">
            <w:pPr>
              <w:spacing w:line="260" w:lineRule="auto"/>
            </w:pPr>
            <w:r>
              <w:rPr>
                <w:b/>
                <w:bCs/>
                <w:color w:val="1A1A1A"/>
                <w:sz w:val="17"/>
                <w:szCs w:val="17"/>
              </w:rPr>
              <w:t>Ein Wechsel beim Personal</w:t>
            </w:r>
          </w:p>
        </w:tc>
        <w:tc>
          <w:tcPr>
            <w:tcW w:w="55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1B66BC7" w14:textId="77777777" w:rsidR="002B7A23" w:rsidRDefault="00000000">
            <w:pPr>
              <w:spacing w:line="260" w:lineRule="auto"/>
            </w:pPr>
            <w:r>
              <w:rPr>
                <w:color w:val="1A1A1A"/>
                <w:sz w:val="17"/>
                <w:szCs w:val="17"/>
              </w:rPr>
              <w:t>Wissen und Gewohnheiten gehen mit dem Menschen</w:t>
            </w:r>
          </w:p>
        </w:tc>
      </w:tr>
      <w:tr w:rsidR="002B7A23" w14:paraId="26CF07B1" w14:textId="77777777">
        <w:trPr>
          <w:cantSplit/>
        </w:trPr>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021319" w14:textId="77777777" w:rsidR="002B7A23" w:rsidRDefault="00000000">
            <w:pPr>
              <w:spacing w:line="260" w:lineRule="auto"/>
            </w:pPr>
            <w:r>
              <w:rPr>
                <w:b/>
                <w:bCs/>
                <w:color w:val="1A1A1A"/>
                <w:sz w:val="17"/>
                <w:szCs w:val="17"/>
              </w:rPr>
              <w:t>Eine neue Vorschrift, Empfehlung oder Warnung</w:t>
            </w:r>
          </w:p>
        </w:tc>
        <w:tc>
          <w:tcPr>
            <w:tcW w:w="55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A3610D" w14:textId="77777777" w:rsidR="002B7A23" w:rsidRDefault="00000000">
            <w:pPr>
              <w:spacing w:line="260" w:lineRule="auto"/>
            </w:pPr>
            <w:r>
              <w:rPr>
                <w:color w:val="1A1A1A"/>
                <w:sz w:val="17"/>
                <w:szCs w:val="17"/>
              </w:rPr>
              <w:t>neue Pflichten für bestehende Abläufe</w:t>
            </w:r>
          </w:p>
        </w:tc>
      </w:tr>
    </w:tbl>
    <w:p w14:paraId="6F66CE37" w14:textId="77777777" w:rsidR="002B7A23" w:rsidRDefault="002B7A23">
      <w:pPr>
        <w:spacing w:after="140"/>
      </w:pPr>
    </w:p>
    <w:p w14:paraId="560207AB" w14:textId="77777777" w:rsidR="002B7A23" w:rsidRDefault="00000000">
      <w:pPr>
        <w:keepNext/>
        <w:spacing w:before="200" w:after="90"/>
      </w:pPr>
      <w:r>
        <w:rPr>
          <w:b/>
          <w:bCs/>
          <w:color w:val="002060"/>
          <w:sz w:val="23"/>
          <w:szCs w:val="23"/>
        </w:rPr>
        <w:lastRenderedPageBreak/>
        <w:t>Die Seite</w:t>
      </w:r>
    </w:p>
    <w:p w14:paraId="26ED1658" w14:textId="77777777" w:rsidR="002B7A23" w:rsidRDefault="00000000">
      <w:pPr>
        <w:keepNext/>
        <w:spacing w:before="160" w:after="90"/>
      </w:pPr>
      <w:r>
        <w:rPr>
          <w:b/>
          <w:bCs/>
          <w:color w:val="5A5A5A"/>
          <w:sz w:val="18"/>
          <w:szCs w:val="18"/>
        </w:rPr>
        <w:t>Tabelle D.2 — Die Schleuse auf einer Seite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40"/>
        <w:gridCol w:w="5397"/>
      </w:tblGrid>
      <w:tr w:rsidR="002B7A23" w14:paraId="60993385" w14:textId="77777777">
        <w:trPr>
          <w:tblHeader/>
        </w:trPr>
        <w:tc>
          <w:tcPr>
            <w:tcW w:w="424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07F0508" w14:textId="77777777" w:rsidR="002B7A23" w:rsidRDefault="00000000">
            <w:pPr>
              <w:spacing w:line="260" w:lineRule="auto"/>
            </w:pPr>
            <w:r>
              <w:rPr>
                <w:b/>
                <w:bCs/>
                <w:color w:val="FFFFFF"/>
                <w:sz w:val="17"/>
                <w:szCs w:val="17"/>
              </w:rPr>
              <w:t>Frage</w:t>
            </w:r>
          </w:p>
        </w:tc>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3F106A8" w14:textId="77777777" w:rsidR="002B7A23" w:rsidRDefault="00000000">
            <w:pPr>
              <w:spacing w:line="260" w:lineRule="auto"/>
            </w:pPr>
            <w:r>
              <w:rPr>
                <w:b/>
                <w:bCs/>
                <w:color w:val="FFFFFF"/>
                <w:sz w:val="17"/>
                <w:szCs w:val="17"/>
              </w:rPr>
              <w:t>Was die Antwort enthalten muss</w:t>
            </w:r>
          </w:p>
        </w:tc>
      </w:tr>
      <w:tr w:rsidR="002B7A23" w14:paraId="36E8D862" w14:textId="77777777">
        <w:trPr>
          <w:cantSplit/>
        </w:trPr>
        <w:tc>
          <w:tcPr>
            <w:tcW w:w="4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5A6302" w14:textId="77777777" w:rsidR="002B7A23" w:rsidRDefault="00000000">
            <w:pPr>
              <w:spacing w:line="260" w:lineRule="auto"/>
            </w:pPr>
            <w:r>
              <w:rPr>
                <w:b/>
                <w:bCs/>
                <w:color w:val="1A1A1A"/>
                <w:sz w:val="17"/>
                <w:szCs w:val="17"/>
              </w:rPr>
              <w:t>1. Zweck und Folgen: Was ändert sich, und was kann daraus entstehen?</w:t>
            </w:r>
          </w:p>
        </w:tc>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9540EE" w14:textId="77777777" w:rsidR="002B7A23" w:rsidRDefault="00000000">
            <w:pPr>
              <w:spacing w:line="260" w:lineRule="auto"/>
            </w:pPr>
            <w:r>
              <w:rPr>
                <w:color w:val="1A1A1A"/>
                <w:sz w:val="17"/>
                <w:szCs w:val="17"/>
              </w:rPr>
              <w:t>die Änderung in einem Absatz, ihr Datum, neue oder veränderte Gefahren, neue Gäste</w:t>
            </w:r>
          </w:p>
        </w:tc>
      </w:tr>
      <w:tr w:rsidR="002B7A23" w14:paraId="1D702F73" w14:textId="77777777">
        <w:trPr>
          <w:cantSplit/>
        </w:trPr>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C1ECFD" w14:textId="77777777" w:rsidR="002B7A23" w:rsidRDefault="00000000">
            <w:pPr>
              <w:spacing w:line="260" w:lineRule="auto"/>
            </w:pPr>
            <w:r>
              <w:rPr>
                <w:b/>
                <w:bCs/>
                <w:color w:val="1A1A1A"/>
                <w:sz w:val="17"/>
                <w:szCs w:val="17"/>
              </w:rPr>
              <w:t>2. Stimmigkeit: Was im System berührt sie?</w:t>
            </w:r>
          </w:p>
        </w:tc>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AD6108" w14:textId="77777777" w:rsidR="002B7A23" w:rsidRDefault="00000000">
            <w:pPr>
              <w:spacing w:line="260" w:lineRule="auto"/>
            </w:pPr>
            <w:r>
              <w:rPr>
                <w:color w:val="1A1A1A"/>
                <w:sz w:val="17"/>
                <w:szCs w:val="17"/>
              </w:rPr>
              <w:t>Fließdiagramme, Programme, Analyse, Plan, Lieferanten, Allergen­blätter, Anwendungsbereich, beim Namen genannt</w:t>
            </w:r>
          </w:p>
        </w:tc>
      </w:tr>
      <w:tr w:rsidR="002B7A23" w14:paraId="59C6ED4F" w14:textId="77777777">
        <w:trPr>
          <w:cantSplit/>
        </w:trPr>
        <w:tc>
          <w:tcPr>
            <w:tcW w:w="4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D90373" w14:textId="77777777" w:rsidR="002B7A23" w:rsidRDefault="00000000">
            <w:pPr>
              <w:spacing w:line="260" w:lineRule="auto"/>
            </w:pPr>
            <w:r>
              <w:rPr>
                <w:b/>
                <w:bCs/>
                <w:color w:val="1A1A1A"/>
                <w:sz w:val="17"/>
                <w:szCs w:val="17"/>
              </w:rPr>
              <w:t>3. Mittel: Ist vorhanden, was sie braucht?</w:t>
            </w:r>
          </w:p>
        </w:tc>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664737" w14:textId="77777777" w:rsidR="002B7A23" w:rsidRDefault="00000000">
            <w:pPr>
              <w:spacing w:line="260" w:lineRule="auto"/>
            </w:pPr>
            <w:r>
              <w:rPr>
                <w:color w:val="1A1A1A"/>
                <w:sz w:val="17"/>
                <w:szCs w:val="17"/>
              </w:rPr>
              <w:t>Geräte, Kühlkapazität, Menschen, Schulung, und wer die Kosten bewilligt hat</w:t>
            </w:r>
          </w:p>
        </w:tc>
      </w:tr>
      <w:tr w:rsidR="002B7A23" w14:paraId="11159618" w14:textId="77777777">
        <w:trPr>
          <w:cantSplit/>
        </w:trPr>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8AD1DB" w14:textId="77777777" w:rsidR="002B7A23" w:rsidRDefault="00000000">
            <w:pPr>
              <w:spacing w:line="260" w:lineRule="auto"/>
            </w:pPr>
            <w:r>
              <w:rPr>
                <w:b/>
                <w:bCs/>
                <w:color w:val="1A1A1A"/>
                <w:sz w:val="17"/>
                <w:szCs w:val="17"/>
              </w:rPr>
              <w:t>4. Verantwortung: Wer trägt sie, wenn sie läuft?</w:t>
            </w:r>
          </w:p>
        </w:tc>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A19673" w14:textId="77777777" w:rsidR="002B7A23" w:rsidRDefault="00000000">
            <w:pPr>
              <w:spacing w:line="260" w:lineRule="auto"/>
            </w:pPr>
            <w:r>
              <w:rPr>
                <w:color w:val="1A1A1A"/>
                <w:sz w:val="17"/>
                <w:szCs w:val="17"/>
              </w:rPr>
              <w:t>der Name für jedes neue Element, und wem es gesagt wurde</w:t>
            </w:r>
          </w:p>
        </w:tc>
      </w:tr>
    </w:tbl>
    <w:p w14:paraId="042BC1CE" w14:textId="77777777" w:rsidR="002B7A23" w:rsidRDefault="002B7A23">
      <w:pPr>
        <w:spacing w:after="140"/>
      </w:pPr>
    </w:p>
    <w:p w14:paraId="1DB6C053" w14:textId="77777777" w:rsidR="002B7A23" w:rsidRDefault="00000000">
      <w:pPr>
        <w:spacing w:after="140" w:line="300" w:lineRule="auto"/>
        <w:jc w:val="both"/>
      </w:pPr>
      <w:r>
        <w:rPr>
          <w:color w:val="1A1A1A"/>
        </w:rPr>
        <w:t>Drei Regeln lassen die Schleuse arbeiten. Die erste ist die Stufe: Eine kleine Änderung zeichnet der Leiter des Teams allein, eine mittlere geht an das Team, eine große an die Leitung, und das Haus legt mit eigenen Beispielen fest, was klein, mittel und groß ist. Die zweite ist der Termin: Die Rezepte einer neuen Karte liegen dem Team vor dem Druck vor und nicht nach der ersten Woche. Die dritte ist der Ausgang: Am Tag der Einführung werden die alten Allergenblätter und Rezepte an jedem Ort eingesammelt. Änderungen, die niemand als Änderung erkennt, findet die Schleuse nicht. Sie findet die Begehung aus Anhang I.</w:t>
      </w:r>
    </w:p>
    <w:p w14:paraId="06FCE462" w14:textId="77777777" w:rsidR="002B7A23" w:rsidRDefault="00000000">
      <w:pPr>
        <w:spacing w:before="60" w:after="140" w:line="300" w:lineRule="auto"/>
        <w:jc w:val="both"/>
      </w:pPr>
      <w:r>
        <w:rPr>
          <w:i/>
          <w:iCs/>
          <w:color w:val="5A5A5A"/>
          <w:sz w:val="19"/>
          <w:szCs w:val="19"/>
        </w:rPr>
        <w:t>Was verlangt ist: Änderungen am System, auch beim Personal, werden geplant, unter Beachtung ihres Zwecks und ihrer Folgen, der Stimmigkeit des Systems, der Mittel und der Verantwortlichkeiten; das Team erfährt rechtzeitig, was die Lebensmittelsicherheit berührt. Was Methode ist: die Liste der Auslöser, die Seite und die drei Regeln.</w:t>
      </w:r>
    </w:p>
    <w:p>
      <w:r>
        <w:rPr>
          <w:b w:val="0"/>
          <w:i w:val="0"/>
          <w:color w:val="8C5A2B"/>
          <w:sz w:val="16"/>
        </w:rPr>
        <w:t>buecher.effedore.com · Edizioni Effedore · frei zugänglich, ohne Registrierung</w:t>
      </w:r>
    </w:p>
    <w:sectPr w:rsidR="002B7A2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852B2" w14:textId="77777777" w:rsidR="00D81711" w:rsidRDefault="00D81711">
      <w:r>
        <w:separator/>
      </w:r>
    </w:p>
  </w:endnote>
  <w:endnote w:type="continuationSeparator" w:id="0">
    <w:p w14:paraId="5E389E2A" w14:textId="77777777" w:rsidR="00D81711" w:rsidRDefault="00D8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7683B" w14:textId="77777777" w:rsidR="002B7A23" w:rsidRDefault="00000000">
    <w:pPr>
      <w:jc w:val="center"/>
    </w:pPr>
    <w:r>
      <w:rPr>
        <w:color w:val="1A1A1A"/>
        <w:sz w:val="18"/>
        <w:szCs w:val="18"/>
      </w:rPr>
      <w:fldChar w:fldCharType="begin"/>
    </w:r>
    <w:r>
      <w:rPr>
        <w:color w:val="1A1A1A"/>
        <w:sz w:val="18"/>
        <w:szCs w:val="18"/>
      </w:rPr>
      <w:instrText>PAGE</w:instrText>
    </w:r>
    <w:r>
      <w:rPr>
        <w:color w:val="1A1A1A"/>
        <w:sz w:val="18"/>
        <w:szCs w:val="18"/>
      </w:rPr>
      <w:fldChar w:fldCharType="separate"/>
    </w:r>
    <w:r w:rsidR="005869EA">
      <w:rPr>
        <w:noProof/>
        <w:color w:val="1A1A1A"/>
        <w:sz w:val="18"/>
        <w:szCs w:val="18"/>
      </w:rPr>
      <w:t>1</w:t>
    </w:r>
    <w:r>
      <w:rPr>
        <w:color w:val="1A1A1A"/>
        <w:sz w:val="18"/>
        <w:szCs w:val="18"/>
      </w:rPr>
      <w:fldChar w:fldCharType="end"/>
    </w:r>
  </w:p>
  <w:p w14:paraId="3FC023C8" w14:textId="77777777" w:rsidR="006D0F5F" w:rsidRDefault="006D0F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43CB" w14:textId="77777777" w:rsidR="00D81711" w:rsidRDefault="00D81711">
      <w:r>
        <w:separator/>
      </w:r>
    </w:p>
  </w:footnote>
  <w:footnote w:type="continuationSeparator" w:id="0">
    <w:p w14:paraId="2BEF2499" w14:textId="77777777" w:rsidR="00D81711" w:rsidRDefault="00D81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B900E3"/>
    <w:multiLevelType w:val="hybridMultilevel"/>
    <w:tmpl w:val="623AEAC2"/>
    <w:lvl w:ilvl="0" w:tplc="A12A4BB4">
      <w:start w:val="1"/>
      <w:numFmt w:val="bullet"/>
      <w:lvlText w:val="●"/>
      <w:lvlJc w:val="left"/>
      <w:pPr>
        <w:ind w:left="720" w:hanging="360"/>
      </w:pPr>
    </w:lvl>
    <w:lvl w:ilvl="1" w:tplc="CCD48186">
      <w:start w:val="1"/>
      <w:numFmt w:val="bullet"/>
      <w:lvlText w:val="○"/>
      <w:lvlJc w:val="left"/>
      <w:pPr>
        <w:ind w:left="1440" w:hanging="360"/>
      </w:pPr>
    </w:lvl>
    <w:lvl w:ilvl="2" w:tplc="5D88C7E0">
      <w:start w:val="1"/>
      <w:numFmt w:val="bullet"/>
      <w:lvlText w:val="■"/>
      <w:lvlJc w:val="left"/>
      <w:pPr>
        <w:ind w:left="2160" w:hanging="360"/>
      </w:pPr>
    </w:lvl>
    <w:lvl w:ilvl="3" w:tplc="6428CC3E">
      <w:start w:val="1"/>
      <w:numFmt w:val="bullet"/>
      <w:lvlText w:val="●"/>
      <w:lvlJc w:val="left"/>
      <w:pPr>
        <w:ind w:left="2880" w:hanging="360"/>
      </w:pPr>
    </w:lvl>
    <w:lvl w:ilvl="4" w:tplc="F7981C46">
      <w:start w:val="1"/>
      <w:numFmt w:val="bullet"/>
      <w:lvlText w:val="○"/>
      <w:lvlJc w:val="left"/>
      <w:pPr>
        <w:ind w:left="3600" w:hanging="360"/>
      </w:pPr>
    </w:lvl>
    <w:lvl w:ilvl="5" w:tplc="2C3C69B4">
      <w:start w:val="1"/>
      <w:numFmt w:val="bullet"/>
      <w:lvlText w:val="■"/>
      <w:lvlJc w:val="left"/>
      <w:pPr>
        <w:ind w:left="4320" w:hanging="360"/>
      </w:pPr>
    </w:lvl>
    <w:lvl w:ilvl="6" w:tplc="B3A67A10">
      <w:start w:val="1"/>
      <w:numFmt w:val="bullet"/>
      <w:lvlText w:val="●"/>
      <w:lvlJc w:val="left"/>
      <w:pPr>
        <w:ind w:left="5040" w:hanging="360"/>
      </w:pPr>
    </w:lvl>
    <w:lvl w:ilvl="7" w:tplc="59BC04B8">
      <w:start w:val="1"/>
      <w:numFmt w:val="bullet"/>
      <w:lvlText w:val="●"/>
      <w:lvlJc w:val="left"/>
      <w:pPr>
        <w:ind w:left="5760" w:hanging="360"/>
      </w:pPr>
    </w:lvl>
    <w:lvl w:ilvl="8" w:tplc="6FBC0F20">
      <w:start w:val="1"/>
      <w:numFmt w:val="bullet"/>
      <w:lvlText w:val="●"/>
      <w:lvlJc w:val="left"/>
      <w:pPr>
        <w:ind w:left="6480" w:hanging="360"/>
      </w:pPr>
    </w:lvl>
  </w:abstractNum>
  <w:num w:numId="1" w16cid:durableId="3800536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A23"/>
    <w:rsid w:val="002B7A23"/>
    <w:rsid w:val="00315269"/>
    <w:rsid w:val="005869EA"/>
    <w:rsid w:val="00587E7A"/>
    <w:rsid w:val="00652B05"/>
    <w:rsid w:val="006D0F5F"/>
    <w:rsid w:val="007A7E2B"/>
    <w:rsid w:val="00A41B54"/>
    <w:rsid w:val="00A57137"/>
    <w:rsid w:val="00A65666"/>
    <w:rsid w:val="00B25466"/>
    <w:rsid w:val="00C13BB2"/>
    <w:rsid w:val="00D64CE3"/>
    <w:rsid w:val="00D73F7B"/>
    <w:rsid w:val="00D81711"/>
    <w:rsid w:val="00E0417D"/>
    <w:rsid w:val="00FD1C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9D90"/>
  <w15:docId w15:val="{1143494F-7776-4023-8580-C88F5C88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semiHidden/>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5869EA"/>
    <w:pPr>
      <w:spacing w:after="100"/>
    </w:pPr>
  </w:style>
  <w:style w:type="paragraph" w:styleId="Sommario2">
    <w:name w:val="toc 2"/>
    <w:basedOn w:val="Normale"/>
    <w:next w:val="Normale"/>
    <w:autoRedefine/>
    <w:uiPriority w:val="39"/>
    <w:unhideWhenUsed/>
    <w:rsid w:val="005869EA"/>
    <w:pPr>
      <w:spacing w:after="100"/>
      <w:ind w:left="210"/>
    </w:pPr>
  </w:style>
  <w:style w:type="paragraph" w:styleId="Titolosommario">
    <w:name w:val="TOC Heading"/>
    <w:basedOn w:val="Titolo1"/>
    <w:next w:val="Normale"/>
    <w:uiPriority w:val="39"/>
    <w:unhideWhenUsed/>
    <w:qFormat/>
    <w:rsid w:val="005869EA"/>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41485">
      <w:bodyDiv w:val="1"/>
      <w:marLeft w:val="0"/>
      <w:marRight w:val="0"/>
      <w:marTop w:val="0"/>
      <w:marBottom w:val="0"/>
      <w:divBdr>
        <w:top w:val="none" w:sz="0" w:space="0" w:color="auto"/>
        <w:left w:val="none" w:sz="0" w:space="0" w:color="auto"/>
        <w:bottom w:val="none" w:sz="0" w:space="0" w:color="auto"/>
        <w:right w:val="none" w:sz="0" w:space="0" w:color="auto"/>
      </w:divBdr>
    </w:div>
    <w:div w:id="867066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40"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DD144-2B70-4371-A4B4-31C56BA3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553</Pages>
  <Words>148706</Words>
  <Characters>847625</Characters>
  <Application>Microsoft Office Word</Application>
  <DocSecurity>0</DocSecurity>
  <Lines>7063</Lines>
  <Paragraphs>1988</Paragraphs>
  <ScaleCrop>false</ScaleCrop>
  <HeadingPairs>
    <vt:vector size="2" baseType="variant">
      <vt:variant>
        <vt:lpstr>Titolo</vt:lpstr>
      </vt:variant>
      <vt:variant>
        <vt:i4>1</vt:i4>
      </vt:variant>
    </vt:vector>
  </HeadingPairs>
  <TitlesOfParts>
    <vt:vector size="1" baseType="lpstr">
      <vt:lpstr>Das Steuer und die Lupe — Band 6a — ISO 22000 — Das Vertrauen am Tisch</vt:lpstr>
    </vt:vector>
  </TitlesOfParts>
  <Company/>
  <LinksUpToDate>false</LinksUpToDate>
  <CharactersWithSpaces>994343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6a — ISO 22000 — Das Vertrauen am Tisch</dc:title>
  <dc:creator>Francesco Dore</dc:creator>
  <cp:lastModifiedBy>Francesco Dore</cp:lastModifiedBy>
  <cp:revision>2</cp:revision>
  <cp:lastPrinted>2026-10-03T15:03:00Z</cp:lastPrinted>
  <dcterms:created xsi:type="dcterms:W3CDTF">2026-10-20T01:07:00Z</dcterms:created>
  <dcterms:modified xsi:type="dcterms:W3CDTF">2026-10-20T01:07:00Z</dcterms:modified>
</cp:coreProperties>
</file>