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8C5A2B"/>
          <w:sz w:val="18"/>
        </w:rPr>
        <w:t>ARBEITSMATERIAL 1.1</w:t>
      </w:r>
    </w:p>
    <w:p>
      <w:pPr>
        <w:pStyle w:val="Heading1"/>
      </w:pPr>
      <w:r>
        <w:t>Die eigenen Nachhaltigkeitsaussagen prüfen</w:t>
      </w:r>
    </w:p>
    <w:p>
      <w:pPr>
        <w:spacing w:after="0"/>
      </w:pPr>
      <w:r>
        <w:rPr>
          <w:b w:val="0"/>
          <w:i/>
          <w:color w:val="5A5A5A"/>
        </w:rPr>
        <w:t>Abschnitt 1.1 · Das grüne Etikett: was eine Nachhaltigkeitsaussage tragen muss</w:t>
      </w:r>
    </w:p>
    <w:p>
      <w:pPr>
        <w:spacing w:after="160"/>
      </w:pPr>
      <w:r>
        <w:rPr>
          <w:b w:val="0"/>
          <w:i w:val="0"/>
          <w:color w:val="5A5A5A"/>
          <w:sz w:val="18"/>
        </w:rPr>
        <w:t>Modellfall im Buch: Bregenz</w:t>
      </w:r>
    </w:p>
    <w:tbl>
      <w:tblPr>
        <w:tblW w:type="auto" w:w="0"/>
        <w:tblLook w:firstColumn="1" w:firstRow="1" w:lastColumn="0" w:lastRow="0" w:noHBand="0" w:noVBand="1" w:val="04A0"/>
        <w:tblCellMar>
          <w:top w:w="120" w:type="dxa"/>
          <w:left w:w="160" w:type="dxa"/>
          <w:bottom w:w="120" w:type="dxa"/>
          <w:right w:w="160" w:type="dxa"/>
        </w:tblCellMar>
      </w:tblPr>
      <w:tblGrid>
        <w:gridCol w:w="9638"/>
      </w:tblGrid>
      <w:tr>
        <w:tc>
          <w:tcPr>
            <w:tcW w:type="dxa" w:w="9638"/>
            <w:shd w:val="clear" w:color="auto" w:fill="EFE7DC"/>
          </w:tcPr>
          <w:p>
            <w:r/>
            <w:r>
              <w:rPr>
                <w:b/>
                <w:color w:val="8C5A2B"/>
                <w:sz w:val="18"/>
              </w:rPr>
              <w:t>LEITFRAGE</w:t>
              <w:br/>
            </w:r>
            <w:r>
              <w:rPr>
                <w:sz w:val="21"/>
              </w:rPr>
              <w:t>Wenn ein Kunde morgen jedes Wort über Nachhaltigkeit in Ihrem Angebot streicht und fragt, welches System dahintersteht: Was legen Sie ihm vor? Und was stünde in Ihrem Hof, wenn er um drei Uhr nachts nachsähe?</w:t>
            </w:r>
          </w:p>
        </w:tc>
      </w:tr>
    </w:tbl>
    <w:p>
      <w:pPr>
        <w:spacing w:after="0"/>
      </w:pPr>
    </w:p>
    <w:p>
      <w:r>
        <w:rPr>
          <w:sz w:val="18"/>
        </w:rPr>
        <w:t>Dieses Blatt gibt das Arbeitsmaterial des Abschnitts in bearbeitbarer Form wieder. Die Texte stammen aus dem Buch; die leeren Spalten sind für die Angaben des eigenen Hauses bestimmt.</w:t>
      </w:r>
    </w:p>
    <w:p>
      <w:pPr>
        <w:pStyle w:val="Heading2"/>
      </w:pPr>
      <w:r>
        <w:t>Das Werkzeug: Fünf Arten, über die eigene Nachhaltigkeit zu sprechen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CBB5"/>
          <w:left w:val="single" w:sz="4" w:color="D9CBB5"/>
          <w:bottom w:val="single" w:sz="4" w:color="D9CBB5"/>
          <w:right w:val="single" w:sz="4" w:color="D9CBB5"/>
          <w:insideH w:val="single" w:sz="4" w:color="D9CBB5"/>
          <w:insideV w:val="single" w:sz="4" w:color="D9CBB5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3213"/>
        <w:gridCol w:w="3213"/>
        <w:gridCol w:w="3213"/>
      </w:tblGrid>
      <w:tr>
        <w:trPr>
          <w:cantSplit w:val="true"/>
          <w:tblHeader w:val="true"/>
        </w:trPr>
        <w:tc>
          <w:tcPr>
            <w:tcW w:type="dxa" w:w="3213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Art der Aussage</w:t>
            </w:r>
          </w:p>
        </w:tc>
        <w:tc>
          <w:tcPr>
            <w:tcW w:type="dxa" w:w="3213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Was sie trägt</w:t>
            </w:r>
          </w:p>
        </w:tc>
        <w:tc>
          <w:tcPr>
            <w:tcW w:type="dxa" w:w="3213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Wer sie prüfen kann</w:t>
            </w:r>
          </w:p>
        </w:tc>
      </w:tr>
      <w:tr>
        <w:trPr>
          <w:cantSplit w:val="true"/>
        </w:trPr>
        <w:tc>
          <w:tcPr>
            <w:tcW w:type="dxa" w:w="3213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Werbewort wie «grün» oder «klimafreundlich»</w:t>
            </w:r>
          </w:p>
        </w:tc>
        <w:tc>
          <w:tcPr>
            <w:tcW w:type="dxa" w:w="3213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nur das Wort</w:t>
            </w:r>
          </w:p>
        </w:tc>
        <w:tc>
          <w:tcPr>
            <w:tcW w:type="dxa" w:w="3213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niemand</w:t>
            </w:r>
          </w:p>
        </w:tc>
      </w:tr>
      <w:tr>
        <w:trPr>
          <w:cantSplit w:val="true"/>
        </w:trPr>
        <w:tc>
          <w:tcPr>
            <w:tcW w:type="dxa" w:w="3213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Einzelbeleg, etwa regionale Lieferanten mit Zeitraum</w:t>
            </w:r>
          </w:p>
        </w:tc>
        <w:tc>
          <w:tcPr>
            <w:tcW w:type="dxa" w:w="3213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eine Tatsache für einen Zeitraum</w:t>
            </w:r>
          </w:p>
        </w:tc>
        <w:tc>
          <w:tcPr>
            <w:tcW w:type="dxa" w:w="3213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der Kunde, mit Einsicht in die Belege</w:t>
            </w:r>
          </w:p>
        </w:tc>
      </w:tr>
      <w:tr>
        <w:trPr>
          <w:cantSplit w:val="true"/>
        </w:trPr>
        <w:tc>
          <w:tcPr>
            <w:tcW w:type="dxa" w:w="3213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Selbsterklärung der Konformität nach ISO 20121</w:t>
            </w:r>
          </w:p>
        </w:tc>
        <w:tc>
          <w:tcPr>
            <w:tcW w:type="dxa" w:w="3213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das System im festgelegten Anwendungsbereich</w:t>
            </w:r>
          </w:p>
        </w:tc>
        <w:tc>
          <w:tcPr>
            <w:tcW w:type="dxa" w:w="3213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der Kunde, mit Einsicht in die Unterlagen</w:t>
            </w:r>
          </w:p>
        </w:tc>
      </w:tr>
      <w:tr>
        <w:trPr>
          <w:cantSplit w:val="true"/>
        </w:trPr>
        <w:tc>
          <w:tcPr>
            <w:tcW w:type="dxa" w:w="3213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Bestätigung durch einen Kunden</w:t>
            </w:r>
          </w:p>
        </w:tc>
        <w:tc>
          <w:tcPr>
            <w:tcW w:type="dxa" w:w="3213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das System, vom Kunden geprüft</w:t>
            </w:r>
          </w:p>
        </w:tc>
        <w:tc>
          <w:tcPr>
            <w:tcW w:type="dxa" w:w="3213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der Kunde, der bestätigt hat</w:t>
            </w:r>
          </w:p>
        </w:tc>
      </w:tr>
      <w:tr>
        <w:trPr>
          <w:cantSplit w:val="true"/>
        </w:trPr>
        <w:tc>
          <w:tcPr>
            <w:tcW w:type="dxa" w:w="3213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Zertifikat einer Zertifizierungsstelle</w:t>
            </w:r>
          </w:p>
        </w:tc>
        <w:tc>
          <w:tcPr>
            <w:tcW w:type="dxa" w:w="3213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das System, von einem Dritten geprüft</w:t>
            </w:r>
          </w:p>
        </w:tc>
        <w:tc>
          <w:tcPr>
            <w:tcW w:type="dxa" w:w="3213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jeder, der Anwendungsbereich und Stelle kennt</w:t>
            </w:r>
          </w:p>
        </w:tc>
      </w:tr>
    </w:tbl>
    <w:p>
      <w:pPr>
        <w:spacing w:after="40"/>
      </w:pPr>
    </w:p>
    <w:p>
      <w:pPr>
        <w:pStyle w:val="Heading2"/>
      </w:pPr>
      <w:r>
        <w:t>Praktische Anwendung: die eigenen Nachhaltigkeitsaussagen in sieben Schritten prüfen</w:t>
      </w:r>
    </w:p>
    <w:p>
      <w:pPr>
        <w:tabs>
          <w:tab w:pos="340" w:val="left"/>
        </w:tabs>
        <w:ind w:left="340" w:hanging="340"/>
      </w:pPr>
      <w:r>
        <w:rPr>
          <w:b/>
          <w:color w:val="8C5A2B"/>
        </w:rPr>
        <w:t>1.</w:t>
        <w:tab/>
      </w:r>
      <w:r>
        <w:rPr>
          <w:b/>
        </w:rPr>
        <w:t>Alle Aussagen sammeln.</w:t>
      </w:r>
      <w:r>
        <w:t xml:space="preserve"> Website, Angebotsvorlagen, Bankettmappe, Hochzeitsbroschüre, Schilder im Haus, Antworten auf Ausschreibungen, Beiträge in sozialen Medien. Jede Aussage über Umwelt, Klima, Regionalität oder Soziales kommt in eine Liste, mit Fundort.</w:t>
      </w:r>
    </w:p>
    <w:p>
      <w:pPr>
        <w:tabs>
          <w:tab w:pos="340" w:val="left"/>
        </w:tabs>
        <w:ind w:left="340" w:hanging="340"/>
      </w:pPr>
      <w:r>
        <w:rPr>
          <w:b/>
          <w:color w:val="8C5A2B"/>
        </w:rPr>
        <w:t>2.</w:t>
        <w:tab/>
      </w:r>
      <w:r>
        <w:rPr>
          <w:b/>
        </w:rPr>
        <w:t>Jeder Aussage einen Beleg zuordnen.</w:t>
      </w:r>
      <w:r>
        <w:t xml:space="preserve"> Welches Papier zeigt die Tatsache, für welchen Zeitraum, und wer hat es? Aussagen ohne Beleg werden gestrichen oder so umgeschrieben, dass sie genau das sagen, was belegt ist.</w:t>
      </w:r>
    </w:p>
    <w:p>
      <w:pPr>
        <w:tabs>
          <w:tab w:pos="340" w:val="left"/>
        </w:tabs>
        <w:ind w:left="340" w:hanging="340"/>
      </w:pPr>
      <w:r>
        <w:rPr>
          <w:b/>
          <w:color w:val="8C5A2B"/>
        </w:rPr>
        <w:t>3.</w:t>
        <w:tab/>
      </w:r>
      <w:r>
        <w:rPr>
          <w:b/>
        </w:rPr>
        <w:t>Teil und Ganzes trennen.</w:t>
      </w:r>
      <w:r>
        <w:t xml:space="preserve"> Gilt die Aussage dem Saal, der Küche, dem Haus oder der ganzen Veranstaltung? Jede Aussage nennt ihre Reichweite. Aussagen über die ganze Veranstaltung macht nur, wer sie veranstaltet.</w:t>
      </w:r>
    </w:p>
    <w:p>
      <w:pPr>
        <w:tabs>
          <w:tab w:pos="340" w:val="left"/>
        </w:tabs>
        <w:ind w:left="340" w:hanging="340"/>
      </w:pPr>
      <w:r>
        <w:rPr>
          <w:b/>
          <w:color w:val="8C5A2B"/>
        </w:rPr>
        <w:t>4.</w:t>
        <w:tab/>
      </w:r>
      <w:r>
        <w:rPr>
          <w:b/>
        </w:rPr>
        <w:t>Kompensation nicht als Eigenschaft verkaufen.</w:t>
      </w:r>
      <w:r>
        <w:t xml:space="preserve"> Keine Leistung wird wegen gekaufter Zertifikate klimaneutral genannt. Wer Klimaprojekte unterstützt, beschreibt den Beitrag als solchen und trennt ihn von dem, was im Haus gemessen wird.</w:t>
      </w:r>
    </w:p>
    <w:p>
      <w:pPr>
        <w:tabs>
          <w:tab w:pos="340" w:val="left"/>
        </w:tabs>
        <w:ind w:left="340" w:hanging="340"/>
      </w:pPr>
      <w:r>
        <w:rPr>
          <w:b/>
          <w:color w:val="8C5A2B"/>
        </w:rPr>
        <w:t>5.</w:t>
        <w:tab/>
      </w:r>
      <w:r>
        <w:rPr>
          <w:b/>
        </w:rPr>
        <w:t>Die eigene Rolle nennen.</w:t>
      </w:r>
      <w:r>
        <w:t xml:space="preserve"> In jedem Angebot steht, ob das Haus Veranstaltungsort und Lieferant ist oder selbst veranstaltet. Daraus folgt, wofür es sprechen kann.</w:t>
      </w:r>
    </w:p>
    <w:p>
      <w:pPr>
        <w:tabs>
          <w:tab w:pos="340" w:val="left"/>
        </w:tabs>
        <w:ind w:left="340" w:hanging="340"/>
      </w:pPr>
      <w:r>
        <w:rPr>
          <w:b/>
          <w:color w:val="8C5A2B"/>
        </w:rPr>
        <w:t>6.</w:t>
        <w:tab/>
      </w:r>
      <w:r>
        <w:rPr>
          <w:b/>
        </w:rPr>
        <w:t>Eine Freigabe bestimmen.</w:t>
      </w:r>
      <w:r>
        <w:t xml:space="preserve"> Neue Vorlagen und Texte mit Nachhaltigkeitsaussagen gibt eine benannte Person frei, die nicht schreibt, sondern prüft. Die Regel dafür beschließt die Eigentümerschaft (2.9).</w:t>
      </w:r>
    </w:p>
    <w:p>
      <w:pPr>
        <w:tabs>
          <w:tab w:pos="340" w:val="left"/>
        </w:tabs>
        <w:ind w:left="340" w:hanging="340"/>
      </w:pPr>
      <w:r>
        <w:rPr>
          <w:b/>
          <w:color w:val="8C5A2B"/>
        </w:rPr>
        <w:t>7.</w:t>
        <w:tab/>
      </w:r>
      <w:r>
        <w:rPr>
          <w:b/>
        </w:rPr>
        <w:t>Dem Kunden die Lage schriftlich geben.</w:t>
      </w:r>
      <w:r>
        <w:t xml:space="preserve"> Was das Haus belegen kann, mit Belegen; was es nicht kann, als offen benannt; ob und bis wann es ein System nach ISO 20121 aufbaut.</w:t>
      </w:r>
    </w:p>
    <w:p>
      <w:pPr>
        <w:keepNext/>
        <w:spacing w:after="40"/>
      </w:pPr>
      <w:r>
        <w:rPr>
          <w:b/>
          <w:i w:val="0"/>
          <w:color w:val="8C5A2B"/>
          <w:sz w:val="18"/>
        </w:rPr>
        <w:t>Umsetzung im eigenen Haus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CBB5"/>
          <w:left w:val="single" w:sz="4" w:color="D9CBB5"/>
          <w:bottom w:val="single" w:sz="4" w:color="D9CBB5"/>
          <w:right w:val="single" w:sz="4" w:color="D9CBB5"/>
          <w:insideH w:val="single" w:sz="4" w:color="D9CBB5"/>
          <w:insideV w:val="single" w:sz="4" w:color="D9CBB5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4649"/>
        <w:gridCol w:w="2041"/>
        <w:gridCol w:w="1474"/>
        <w:gridCol w:w="1474"/>
      </w:tblGrid>
      <w:tr>
        <w:trPr>
          <w:cantSplit w:val="true"/>
          <w:tblHeader w:val="true"/>
        </w:trPr>
        <w:tc>
          <w:tcPr>
            <w:tcW w:type="dxa" w:w="4649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7"/>
              </w:rPr>
              <w:t>Schritt</w:t>
            </w:r>
          </w:p>
        </w:tc>
        <w:tc>
          <w:tcPr>
            <w:tcW w:type="dxa" w:w="2041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7"/>
              </w:rPr>
              <w:t>Verantwortlich</w:t>
            </w:r>
          </w:p>
        </w:tc>
        <w:tc>
          <w:tcPr>
            <w:tcW w:type="dxa" w:w="1474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7"/>
              </w:rPr>
              <w:t>Termin</w:t>
            </w:r>
          </w:p>
        </w:tc>
        <w:tc>
          <w:tcPr>
            <w:tcW w:type="dxa" w:w="1474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7"/>
              </w:rPr>
              <w:t>Erledigt</w:t>
            </w:r>
          </w:p>
        </w:tc>
      </w:tr>
      <w:tr>
        <w:trPr>
          <w:cantSplit w:val="true"/>
        </w:trPr>
        <w:tc>
          <w:tcPr>
            <w:tcW w:type="dxa" w:w="4649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1. Alle Aussagen sammeln</w:t>
            </w:r>
          </w:p>
        </w:tc>
        <w:tc>
          <w:tcPr>
            <w:tcW w:type="dxa" w:w="204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4649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2. Jeder Aussage einen Beleg zuordnen</w:t>
            </w:r>
          </w:p>
        </w:tc>
        <w:tc>
          <w:tcPr>
            <w:tcW w:type="dxa" w:w="204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4649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3. Teil und Ganzes trennen</w:t>
            </w:r>
          </w:p>
        </w:tc>
        <w:tc>
          <w:tcPr>
            <w:tcW w:type="dxa" w:w="204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4649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4. Kompensation nicht als Eigenschaft verkaufen</w:t>
            </w:r>
          </w:p>
        </w:tc>
        <w:tc>
          <w:tcPr>
            <w:tcW w:type="dxa" w:w="204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4649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5. Die eigene Rolle nennen</w:t>
            </w:r>
          </w:p>
        </w:tc>
        <w:tc>
          <w:tcPr>
            <w:tcW w:type="dxa" w:w="204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4649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6. Eine Freigabe bestimmen</w:t>
            </w:r>
          </w:p>
        </w:tc>
        <w:tc>
          <w:tcPr>
            <w:tcW w:type="dxa" w:w="204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4649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7. Dem Kunden die Lage schriftlich geben</w:t>
            </w:r>
          </w:p>
        </w:tc>
        <w:tc>
          <w:tcPr>
            <w:tcW w:type="dxa" w:w="204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</w:tr>
    </w:tbl>
    <w:p>
      <w:pPr>
        <w:spacing w:after="40"/>
      </w:pPr>
    </w:p>
    <w:p>
      <w:pPr>
        <w:pStyle w:val="Heading2"/>
      </w:pPr>
      <w:r>
        <w:t>Prüf-Checkliste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CBB5"/>
          <w:left w:val="single" w:sz="4" w:color="D9CBB5"/>
          <w:bottom w:val="single" w:sz="4" w:color="D9CBB5"/>
          <w:right w:val="single" w:sz="4" w:color="D9CBB5"/>
          <w:insideH w:val="single" w:sz="4" w:color="D9CBB5"/>
          <w:insideV w:val="single" w:sz="4" w:color="D9CBB5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5216"/>
        <w:gridCol w:w="680"/>
        <w:gridCol w:w="680"/>
        <w:gridCol w:w="3061"/>
      </w:tblGrid>
      <w:tr>
        <w:trPr>
          <w:cantSplit w:val="true"/>
          <w:tblHeader w:val="true"/>
        </w:trPr>
        <w:tc>
          <w:tcPr>
            <w:tcW w:type="dxa" w:w="5216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Frage</w:t>
            </w:r>
          </w:p>
        </w:tc>
        <w:tc>
          <w:tcPr>
            <w:tcW w:type="dxa" w:w="680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Ja</w:t>
            </w:r>
          </w:p>
        </w:tc>
        <w:tc>
          <w:tcPr>
            <w:tcW w:type="dxa" w:w="680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Nein</w:t>
            </w:r>
          </w:p>
        </w:tc>
        <w:tc>
          <w:tcPr>
            <w:tcW w:type="dxa" w:w="3061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Nachweis / Bemerkung</w:t>
            </w:r>
          </w:p>
        </w:tc>
      </w:tr>
      <w:tr>
        <w:trPr>
          <w:cantSplit w:val="true"/>
        </w:trPr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Haben wir eine vollständige Liste unserer Nachhaltigkeitsaussagen, mit Fundort?</w:t>
            </w:r>
          </w:p>
        </w:tc>
        <w:tc>
          <w:tcPr>
            <w:tcW w:type="dxa" w:w="680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680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306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Gibt es zu jeder Aussage einen Beleg mit Zeitraum?</w:t>
            </w:r>
          </w:p>
        </w:tc>
        <w:tc>
          <w:tcPr>
            <w:tcW w:type="dxa" w:w="680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680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306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Sagt jede Aussage, ob sie für Saal, Küche, Haus oder die ganze Veranstaltung gilt?</w:t>
            </w:r>
          </w:p>
        </w:tc>
        <w:tc>
          <w:tcPr>
            <w:tcW w:type="dxa" w:w="680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680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306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Verzichten wir auf jede Aussage, eine Leistung sei durch Kompensation klimaneutral?</w:t>
            </w:r>
          </w:p>
        </w:tc>
        <w:tc>
          <w:tcPr>
            <w:tcW w:type="dxa" w:w="680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680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306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Verwenden wir Siegel und Zeichen nur, wenn wir sie tatsächlich führen dürfen?</w:t>
            </w:r>
          </w:p>
        </w:tc>
        <w:tc>
          <w:tcPr>
            <w:tcW w:type="dxa" w:w="680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680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306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Steht in jedem Angebot, welche Rolle das Haus bei der Veranstaltung hat?</w:t>
            </w:r>
          </w:p>
        </w:tc>
        <w:tc>
          <w:tcPr>
            <w:tcW w:type="dxa" w:w="680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680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306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Gibt eine benannte Person unsere Texte frei, bevor sie nach außen gehen?</w:t>
            </w:r>
          </w:p>
        </w:tc>
        <w:tc>
          <w:tcPr>
            <w:tcW w:type="dxa" w:w="680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680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306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Lesen wir, was nach einem Fest im Hof steht, und wer schreibt es auf?</w:t>
            </w:r>
          </w:p>
        </w:tc>
        <w:tc>
          <w:tcPr>
            <w:tcW w:type="dxa" w:w="680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680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306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2"/>
      </w:pPr>
      <w:r>
        <w:t>Häufige Fehler</w:t>
      </w:r>
    </w:p>
    <w:p>
      <w:pPr>
        <w:tabs>
          <w:tab w:pos="340" w:val="left"/>
        </w:tabs>
        <w:ind w:left="340" w:hanging="340"/>
      </w:pPr>
      <w:r>
        <w:rPr>
          <w:color w:val="8C5A2B"/>
        </w:rPr>
        <w:t>–</w:t>
        <w:tab/>
      </w:r>
      <w:r>
        <w:rPr>
          <w:b/>
        </w:rPr>
        <w:t>Das Wort tauschen und die Aussage behalten.</w:t>
      </w:r>
      <w:r>
        <w:t xml:space="preserve"> Auch «klimafreundlich» ist eine allgemeine Umweltaussage und braucht gegenüber Verbrauchern eine anerkannte hervorragende Umweltleistung.</w:t>
      </w:r>
    </w:p>
    <w:p>
      <w:pPr>
        <w:tabs>
          <w:tab w:pos="340" w:val="left"/>
        </w:tabs>
        <w:ind w:left="340" w:hanging="340"/>
      </w:pPr>
      <w:r>
        <w:rPr>
          <w:color w:val="8C5A2B"/>
        </w:rPr>
        <w:t>–</w:t>
        <w:tab/>
      </w:r>
      <w:r>
        <w:rPr>
          <w:b/>
        </w:rPr>
        <w:t>Für die ganze Veranstaltung sprechen.</w:t>
      </w:r>
      <w:r>
        <w:t xml:space="preserve"> Das Haus ist meist Lieferant; über Anreise und Programm entscheidet ein anderer.</w:t>
      </w:r>
    </w:p>
    <w:p>
      <w:pPr>
        <w:tabs>
          <w:tab w:pos="340" w:val="left"/>
        </w:tabs>
        <w:ind w:left="340" w:hanging="340"/>
      </w:pPr>
      <w:r>
        <w:rPr>
          <w:color w:val="8C5A2B"/>
        </w:rPr>
        <w:t>–</w:t>
        <w:tab/>
      </w:r>
      <w:r>
        <w:rPr>
          <w:b/>
        </w:rPr>
        <w:t>Kompensation als Ergebnis verkaufen.</w:t>
      </w:r>
      <w:r>
        <w:t xml:space="preserve"> Im Haus ändert sich nichts, und die Aussage ist gegenüber Verbrauchern für Produkte nicht mehr zulässig.</w:t>
      </w:r>
    </w:p>
    <w:p>
      <w:pPr>
        <w:tabs>
          <w:tab w:pos="340" w:val="left"/>
        </w:tabs>
        <w:ind w:left="340" w:hanging="340"/>
      </w:pPr>
      <w:r>
        <w:rPr>
          <w:color w:val="8C5A2B"/>
        </w:rPr>
        <w:t>–</w:t>
        <w:tab/>
      </w:r>
      <w:r>
        <w:rPr>
          <w:b/>
        </w:rPr>
        <w:t>Fremde Zeichen und Begriffe ausleihen.</w:t>
      </w:r>
      <w:r>
        <w:t xml:space="preserve"> Ein Kunde liest «Green Meeting» als Hinweis auf ein Umweltzeichen, das das Haus nicht hat.</w:t>
      </w:r>
    </w:p>
    <w:p>
      <w:pPr>
        <w:tabs>
          <w:tab w:pos="340" w:val="left"/>
        </w:tabs>
        <w:ind w:left="340" w:hanging="340"/>
      </w:pPr>
      <w:r>
        <w:rPr>
          <w:color w:val="8C5A2B"/>
        </w:rPr>
        <w:t>–</w:t>
        <w:tab/>
      </w:r>
      <w:r>
        <w:rPr>
          <w:b/>
        </w:rPr>
        <w:t>Die Veranstaltung zertifizieren wollen.</w:t>
      </w:r>
      <w:r>
        <w:t xml:space="preserve"> Zertifiziert werden kann nur das System, mit dem das Haus Veranstaltungen plant und durchführt.</w:t>
      </w:r>
    </w:p>
    <w:p>
      <w:pPr>
        <w:tabs>
          <w:tab w:pos="340" w:val="left"/>
        </w:tabs>
        <w:ind w:left="340" w:hanging="340"/>
      </w:pPr>
      <w:r>
        <w:rPr>
          <w:color w:val="8C5A2B"/>
        </w:rPr>
        <w:t>–</w:t>
        <w:tab/>
      </w:r>
      <w:r>
        <w:rPr>
          <w:b/>
        </w:rPr>
        <w:t>Die Texte dem Verkauf allein überlassen.</w:t>
      </w:r>
      <w:r>
        <w:t xml:space="preserve"> Was das Haus öffentlich verspricht, muss oben freigegeben werden.</w:t>
      </w:r>
    </w:p>
    <w:p>
      <w:pPr>
        <w:pStyle w:val="Heading2"/>
      </w:pPr>
      <w:r>
        <w:t>Modellrechnung</w:t>
      </w:r>
    </w:p>
    <w:p>
      <w:r>
        <w:rPr>
          <w:b w:val="0"/>
          <w:i/>
          <w:color w:val="5A5A5A"/>
          <w:sz w:val="18"/>
        </w:rPr>
        <w:t>Modellannahme, kein belegter Branchenwert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CBB5"/>
          <w:left w:val="single" w:sz="4" w:color="D9CBB5"/>
          <w:bottom w:val="single" w:sz="4" w:color="D9CBB5"/>
          <w:right w:val="single" w:sz="4" w:color="D9CBB5"/>
          <w:insideH w:val="single" w:sz="4" w:color="D9CBB5"/>
          <w:insideV w:val="single" w:sz="4" w:color="D9CBB5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3175"/>
        <w:gridCol w:w="1474"/>
        <w:gridCol w:w="3175"/>
        <w:gridCol w:w="1814"/>
      </w:tblGrid>
      <w:tr>
        <w:trPr>
          <w:cantSplit w:val="true"/>
          <w:tblHeader w:val="true"/>
        </w:trPr>
        <w:tc>
          <w:tcPr>
            <w:tcW w:type="dxa" w:w="3175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Posten</w:t>
            </w:r>
          </w:p>
        </w:tc>
        <w:tc>
          <w:tcPr>
            <w:tcW w:type="dxa" w:w="1474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Betrag</w:t>
            </w:r>
          </w:p>
        </w:tc>
        <w:tc>
          <w:tcPr>
            <w:tcW w:type="dxa" w:w="3175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Anmerkung</w:t>
            </w:r>
          </w:p>
        </w:tc>
        <w:tc>
          <w:tcPr>
            <w:tcW w:type="dxa" w:w="1814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Eigener Wert</w:t>
            </w:r>
          </w:p>
        </w:tc>
      </w:tr>
      <w:tr>
        <w:trPr>
          <w:cantSplit w:val="true"/>
        </w:trPr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Auftragswert des Kongresses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€ 124.000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Säle, Verpflegung, Abendessen, 240 Zimmernächte</w:t>
            </w:r>
          </w:p>
        </w:tc>
        <w:tc>
          <w:tcPr>
            <w:tcW w:type="dxa" w:w="181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Bisherige Kompensation: 300 Teilnehmer zu € 4</w:t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€ 1.200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je Tagung; im Haus wird damit nichts gemessen</w:t>
            </w:r>
          </w:p>
        </w:tc>
        <w:tc>
          <w:tcPr>
            <w:tcW w:type="dxa" w:w="181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Sammeln und Prüfen aller Aussagen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24 Stunden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einmalig, Leiterin Bankett und Veranstaltungen</w:t>
            </w:r>
          </w:p>
        </w:tc>
        <w:tc>
          <w:tcPr>
            <w:tcW w:type="dxa" w:w="181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Belege der Küche für zwölf Monate ordnen</w:t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10 Stunden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einmalig, Küchenchef</w:t>
            </w:r>
          </w:p>
        </w:tc>
        <w:tc>
          <w:tcPr>
            <w:tcW w:type="dxa" w:w="181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Rundgänge des Nachtportiers als Formular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2 Stunden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einmalig; danach je Veranstaltung wenige Minuten</w:t>
            </w:r>
          </w:p>
        </w:tc>
        <w:tc>
          <w:tcPr>
            <w:tcW w:type="dxa" w:w="181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Antwort an den Kunden und Entscheidungsvorlage</w:t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8 Stunden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einmalig, Direktor und Eigentümerin</w:t>
            </w:r>
          </w:p>
        </w:tc>
        <w:tc>
          <w:tcPr>
            <w:tcW w:type="dxa" w:w="181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</w:tbl>
    <w:p>
      <w:pPr>
        <w:spacing w:after="40"/>
      </w:pPr>
    </w:p>
    <w:p>
      <w:r>
        <w:rPr>
          <w:b w:val="0"/>
          <w:i w:val="0"/>
        </w:rPr>
        <w:t>Vierundvierzig Stunden eigener Arbeit stehen gegen einen Auftrag von 124.000 Euro und gegen die Frage, ob der Verband dem Haus künftig glaubt.</w:t>
      </w:r>
    </w:p>
    <w:p>
      <w:pPr>
        <w:pStyle w:val="Heading2"/>
      </w:pPr>
      <w:r>
        <w:t>Was verlangt ist, und was nur Anleitung ist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CBB5"/>
          <w:left w:val="single" w:sz="4" w:color="D9CBB5"/>
          <w:bottom w:val="single" w:sz="4" w:color="D9CBB5"/>
          <w:right w:val="single" w:sz="4" w:color="D9CBB5"/>
          <w:insideH w:val="single" w:sz="4" w:color="D9CBB5"/>
          <w:insideV w:val="single" w:sz="4" w:color="D9CBB5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3288"/>
        <w:gridCol w:w="3175"/>
        <w:gridCol w:w="3175"/>
      </w:tblGrid>
      <w:tr>
        <w:trPr>
          <w:cantSplit w:val="true"/>
          <w:tblHeader w:val="true"/>
        </w:trPr>
        <w:tc>
          <w:tcPr>
            <w:tcW w:type="dxa" w:w="3288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Verlangt (Norm)</w:t>
            </w:r>
          </w:p>
        </w:tc>
        <w:tc>
          <w:tcPr>
            <w:tcW w:type="dxa" w:w="3175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Was es im Hotel belegt</w:t>
            </w:r>
          </w:p>
        </w:tc>
        <w:tc>
          <w:tcPr>
            <w:tcW w:type="dxa" w:w="3175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Nur Anhang oder Methode</w:t>
            </w:r>
          </w:p>
        </w:tc>
      </w:tr>
      <w:tr>
        <w:trPr>
          <w:cantSplit w:val="true"/>
        </w:trPr>
        <w:tc>
          <w:tcPr>
            <w:tcW w:type="dxa" w:w="3288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Keine Kommunikation, die über tatsächliche Auswirkungen irreführt (7.4)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jede Angebotsvorlage mit Beleg und Freigabe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Methode: Liste zugelassener Formulierungen</w:t>
            </w:r>
          </w:p>
        </w:tc>
      </w:tr>
      <w:tr>
        <w:trPr>
          <w:cantSplit w:val="true"/>
        </w:trPr>
        <w:tc>
          <w:tcPr>
            <w:tcW w:type="dxa" w:w="3288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Festlegen, was, wann, mit wem und wie kommuniziert wird (7.4)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ein Blatt mit Zuständigkeit und Freigabeweg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Bericht nach Veranstaltungen (C.3)</w:t>
            </w:r>
          </w:p>
        </w:tc>
      </w:tr>
      <w:tr>
        <w:trPr>
          <w:cantSplit w:val="true"/>
        </w:trPr>
        <w:tc>
          <w:tcPr>
            <w:tcW w:type="dxa" w:w="3288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Anwendungsbereich als dokumentierte Information (4.3)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eine Seite: welche Leistungen, welche Veranstaltungen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Beispiele für Grenzen (A.5)</w:t>
            </w:r>
          </w:p>
        </w:tc>
      </w:tr>
      <w:tr>
        <w:trPr>
          <w:cantSplit w:val="true"/>
        </w:trPr>
        <w:tc>
          <w:tcPr>
            <w:tcW w:type="dxa" w:w="3288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Leitprinzipien im Leitbild (4.5)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unterzeichnetes Leitbild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Reifegradmatrix (Tabelle A.5)</w:t>
            </w:r>
          </w:p>
        </w:tc>
      </w:tr>
      <w:tr>
        <w:trPr>
          <w:cantSplit w:val="true"/>
        </w:trPr>
        <w:tc>
          <w:tcPr>
            <w:tcW w:type="dxa" w:w="3288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Lehren aus jeder Veranstaltung ermitteln (9.1 c)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Protokoll der Nachbesprechung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Kennzahlen nach Größe (A.20)</w:t>
            </w:r>
          </w:p>
        </w:tc>
      </w:tr>
      <w:tr>
        <w:trPr>
          <w:cantSplit w:val="true"/>
        </w:trPr>
        <w:tc>
          <w:tcPr>
            <w:tcW w:type="dxa" w:w="3288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Konformität freiwillig nachweisen (Abschnitt 1 d)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Selbsterklärung mit Datum, Kundenbestätigung oder Zertifikat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Wege der Konformitätsaussage (A.24)</w:t>
            </w:r>
          </w:p>
        </w:tc>
      </w:tr>
    </w:tbl>
    <w:p>
      <w:pPr>
        <w:spacing w:after="40"/>
      </w:pPr>
    </w:p>
    <w:p>
      <w:pPr>
        <w:pStyle w:val="Heading2"/>
      </w:pPr>
      <w:r>
        <w:t>DACH-Anker: Umweltaussagen in der Werbung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CBB5"/>
          <w:left w:val="single" w:sz="4" w:color="D9CBB5"/>
          <w:bottom w:val="single" w:sz="4" w:color="D9CBB5"/>
          <w:right w:val="single" w:sz="4" w:color="D9CBB5"/>
          <w:insideH w:val="single" w:sz="4" w:color="D9CBB5"/>
          <w:insideV w:val="single" w:sz="4" w:color="D9CBB5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1474"/>
        <w:gridCol w:w="2721"/>
        <w:gridCol w:w="2721"/>
        <w:gridCol w:w="2721"/>
      </w:tblGrid>
      <w:tr>
        <w:trPr>
          <w:cantSplit w:val="true"/>
          <w:tblHeader w:val="true"/>
        </w:trPr>
        <w:tc>
          <w:tcPr>
            <w:tcW w:type="dxa" w:w="1474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7"/>
              </w:rPr>
              <w:t>Ebene</w:t>
            </w:r>
          </w:p>
        </w:tc>
        <w:tc>
          <w:tcPr>
            <w:tcW w:type="dxa" w:w="2721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7"/>
              </w:rPr>
              <w:t>Deutschland</w:t>
            </w:r>
          </w:p>
        </w:tc>
        <w:tc>
          <w:tcPr>
            <w:tcW w:type="dxa" w:w="2721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7"/>
              </w:rPr>
              <w:t>Österreich</w:t>
            </w:r>
          </w:p>
        </w:tc>
        <w:tc>
          <w:tcPr>
            <w:tcW w:type="dxa" w:w="2721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7"/>
              </w:rPr>
              <w:t>Schweiz</w:t>
            </w:r>
          </w:p>
        </w:tc>
      </w:tr>
      <w:tr>
        <w:trPr>
          <w:cantSplit w:val="true"/>
        </w:trPr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Rechtsgrundlage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UWG, geändert durch das Dritte Änderungsgesetz, BGBl. 2026 I Nr. 43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UWG-Novelle, BGBl. I Nr. 58/2026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UWG, Art. 3 Abs. 1 lit. x</w:t>
            </w:r>
          </w:p>
        </w:tc>
      </w:tr>
      <w:tr>
        <w:trPr>
          <w:cantSplit w:val="true"/>
        </w:trPr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Gilt ab</w:t>
            </w:r>
          </w:p>
        </w:tc>
        <w:tc>
          <w:tcPr>
            <w:tcW w:type="dxa" w:w="272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27. September 2026</w:t>
            </w:r>
          </w:p>
        </w:tc>
        <w:tc>
          <w:tcPr>
            <w:tcW w:type="dxa" w:w="272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Umweltaussagen ab 27. September 2026</w:t>
            </w:r>
          </w:p>
        </w:tc>
        <w:tc>
          <w:tcPr>
            <w:tcW w:type="dxa" w:w="272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1. Januar 2025</w:t>
            </w:r>
          </w:p>
        </w:tc>
      </w:tr>
      <w:tr>
        <w:trPr>
          <w:cantSplit w:val="true"/>
        </w:trPr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Klimaneutral durch Kompensation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gegenüber Verbrauchern für ein Produkt unzulässig (Anhang zu § 3 Abs. 3 Nr. 4c)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gegenüber Verbrauchern für ein Produkt unzulässig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Klimaaussagen nur mit objektiven und überprüfbaren Grundlagen</w:t>
            </w:r>
          </w:p>
        </w:tc>
      </w:tr>
      <w:tr>
        <w:trPr>
          <w:cantSplit w:val="true"/>
        </w:trPr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Allgemeine Umweltaussage wie «grün»</w:t>
            </w:r>
          </w:p>
        </w:tc>
        <w:tc>
          <w:tcPr>
            <w:tcW w:type="dxa" w:w="272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gegenüber Verbrauchern nur bei anerkannter hervorragender Umweltleistung (Nr. 4a)</w:t>
            </w:r>
          </w:p>
        </w:tc>
        <w:tc>
          <w:tcPr>
            <w:tcW w:type="dxa" w:w="272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ebenso</w:t>
            </w:r>
          </w:p>
        </w:tc>
        <w:tc>
          <w:tcPr>
            <w:tcW w:type="dxa" w:w="272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allgemeines Irreführungsverbot (Art. 3 Abs. 1 lit. b)</w:t>
            </w:r>
          </w:p>
        </w:tc>
      </w:tr>
      <w:tr>
        <w:trPr>
          <w:cantSplit w:val="true"/>
        </w:trPr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Aussage über das Ganze, die einen Teil betrifft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gegenüber Verbrauchern unzulässig (Nr. 4b)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gegenüber Verbrauchern unzulässig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Irreführungsverbot</w:t>
            </w:r>
          </w:p>
        </w:tc>
      </w:tr>
      <w:tr>
        <w:trPr>
          <w:cantSplit w:val="true"/>
        </w:trPr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Siegel und Zeichen</w:t>
            </w:r>
          </w:p>
        </w:tc>
        <w:tc>
          <w:tcPr>
            <w:tcW w:type="dxa" w:w="272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gegenüber Verbrauchern nur mit Zertifizierungssystem oder staatlicher Festsetzung (Nr. 2a)</w:t>
            </w:r>
          </w:p>
        </w:tc>
        <w:tc>
          <w:tcPr>
            <w:tcW w:type="dxa" w:w="272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ebenso; staatliches Umweltzeichen für Green Meetings und Green Events (UZ 62)</w:t>
            </w:r>
          </w:p>
        </w:tc>
        <w:tc>
          <w:tcPr>
            <w:tcW w:type="dxa" w:w="272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keine Übernahme der Richtlinie</w:t>
            </w:r>
          </w:p>
        </w:tc>
      </w:tr>
    </w:tbl>
    <w:p>
      <w:pPr>
        <w:spacing w:after="40"/>
      </w:pPr>
    </w:p>
    <w:p>
      <w:r>
        <w:rPr>
          <w:b w:val="0"/>
          <w:i w:val="0"/>
          <w:color w:val="5A5A5A"/>
          <w:sz w:val="17"/>
        </w:rPr>
        <w:t>Stand der Tabelle: 22. Oktober 2026, wie im Buch. Die laufende Fassung mit Änderungen nach diesem Stichtag steht in Band8a_Rechtsanker_DACH_laufend.xlsx. Die Tabelle ersetzt keine Prüfung der geltenden Fassung und keine Rechtsberatung im Einzelfall.</w:t>
      </w:r>
    </w:p>
    <w:p>
      <w:r>
        <w:rPr>
          <w:b w:val="0"/>
          <w:i w:val="0"/>
          <w:color w:val="5A5A5A"/>
          <w:sz w:val="17"/>
        </w:rPr>
        <w:t>Quelle: Francesco Dore, Das Steuer und die Lupe, Band 8a «Das Fest und seine Spuren», Abschnitt 1.1. Edizioni Effedore, 2026.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5A5A5A"/>
        <w:sz w:val="15"/>
      </w:rPr>
      <w:t xml:space="preserve">Arbeitsmaterial 1.1 · Edizioni Effedore · buecher.effedore.com · Arbeitshilfe, keine Rechtsberatung  ·  Seite </w:t>
    </w:r>
    <w:r>
      <w:rPr>
        <w:color w:val="5A5A5A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  <w:r>
      <w:rPr>
        <w:color w:val="8C5A2B"/>
        <w:sz w:val="15"/>
      </w:rPr>
      <w:t>Das Steuer und die Lupe · Band 8a · ISO 20121 — Das Fest und seine Spuren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eastAsia="Aptos"/>
      <w:color w:val="1A1A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/>
      <w:outlineLvl w:val="0"/>
    </w:pPr>
    <w:rPr>
      <w:rFonts w:asciiTheme="" w:eastAsiaTheme="majorEastAsia" w:hAnsiTheme="majorHAnsi" w:cstheme="majorBidi" w:ascii="Aptos" w:hAnsi="Aptos"/>
      <w:b/>
      <w:bCs/>
      <w:color w:val="8C5A2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" w:eastAsiaTheme="majorEastAsia" w:hAnsiTheme="majorHAnsi" w:cstheme="majorBidi" w:ascii="Aptos" w:hAnsi="Aptos"/>
      <w:b/>
      <w:bCs/>
      <w:color w:val="8C5A2B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Arbeitsmaterial 1.1 — Die eigenen Nachhaltigkeitsaussagen prüfen</dc:title>
  <dc:subject/>
  <dc:creator>Francesco Dore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