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1.10</w:t>
      </w:r>
    </w:p>
    <w:p>
      <w:pPr>
        <w:pStyle w:val="Heading1"/>
      </w:pPr>
      <w:r>
        <w:t>Einen Veranstaltungsbericht erstellen</w:t>
      </w:r>
    </w:p>
    <w:p>
      <w:pPr>
        <w:spacing w:after="0"/>
      </w:pPr>
      <w:r>
        <w:rPr>
          <w:b w:val="0"/>
          <w:i/>
          <w:color w:val="5A5A5A"/>
        </w:rPr>
        <w:t>Abschnitt 1.10 · Transparenz als Vermögenswert: berichten, was gemessen wurde</w:t>
      </w:r>
    </w:p>
    <w:p>
      <w:pPr>
        <w:spacing w:after="160"/>
      </w:pPr>
      <w:r>
        <w:rPr>
          <w:b w:val="0"/>
          <w:i w:val="0"/>
          <w:color w:val="5A5A5A"/>
          <w:sz w:val="18"/>
        </w:rPr>
        <w:t>Modellfall im Buch: Basel</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die Zahlen nach einer Veranstaltung schlechter ausfallen als angekündigt: Wer in Ihrem Haus entscheidet, ob der Kunde sie zu sehen bekommt? Und was ist eine Zusage wert, die nur in guten Jahren eingelöst wird?</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Teile der Transparenz</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Teil</w:t>
            </w:r>
          </w:p>
        </w:tc>
        <w:tc>
          <w:tcPr>
            <w:tcW w:type="dxa" w:w="3213"/>
            <w:shd w:val="clear" w:color="auto" w:fill="8C5A2B"/>
          </w:tcPr>
          <w:p>
            <w:pPr>
              <w:spacing w:after="0" w:before="0"/>
            </w:pPr>
            <w:r/>
            <w:r>
              <w:rPr>
                <w:b/>
                <w:i w:val="0"/>
                <w:color w:val="FFFFFF"/>
                <w:sz w:val="18"/>
              </w:rPr>
              <w:t>Was das Haus tut</w:t>
            </w:r>
          </w:p>
        </w:tc>
        <w:tc>
          <w:tcPr>
            <w:tcW w:type="dxa" w:w="3213"/>
            <w:shd w:val="clear" w:color="auto" w:fill="8C5A2B"/>
          </w:tcPr>
          <w:p>
            <w:pPr>
              <w:spacing w:after="0" w:before="0"/>
            </w:pPr>
            <w:r/>
            <w:r>
              <w:rPr>
                <w:b/>
                <w:i w:val="0"/>
                <w:color w:val="FFFFFF"/>
                <w:sz w:val="18"/>
              </w:rPr>
              <w:t>Was es verhindert</w:t>
            </w:r>
          </w:p>
        </w:tc>
      </w:tr>
      <w:tr>
        <w:trPr>
          <w:cantSplit w:val="true"/>
        </w:trPr>
        <w:tc>
          <w:tcPr>
            <w:tcW w:type="dxa" w:w="3213"/>
          </w:tcPr>
          <w:p>
            <w:pPr>
              <w:spacing w:after="0" w:before="0"/>
            </w:pPr>
            <w:r/>
            <w:r>
              <w:rPr>
                <w:b w:val="0"/>
                <w:i w:val="0"/>
                <w:color w:val="1A1A1A"/>
                <w:sz w:val="18"/>
              </w:rPr>
              <w:t>Vorher festlegen</w:t>
            </w:r>
          </w:p>
        </w:tc>
        <w:tc>
          <w:tcPr>
            <w:tcW w:type="dxa" w:w="3213"/>
          </w:tcPr>
          <w:p>
            <w:pPr>
              <w:spacing w:after="0" w:before="0"/>
            </w:pPr>
            <w:r/>
            <w:r>
              <w:rPr>
                <w:b w:val="0"/>
                <w:i w:val="0"/>
                <w:color w:val="1A1A1A"/>
                <w:sz w:val="18"/>
              </w:rPr>
              <w:t>Kennzahlen, Rechenweg und Vorfälle mit dem Kunden vereinbaren</w:t>
            </w:r>
          </w:p>
        </w:tc>
        <w:tc>
          <w:tcPr>
            <w:tcW w:type="dxa" w:w="3213"/>
          </w:tcPr>
          <w:p>
            <w:pPr>
              <w:spacing w:after="0" w:before="0"/>
            </w:pPr>
            <w:r/>
            <w:r>
              <w:rPr>
                <w:b w:val="0"/>
                <w:i w:val="0"/>
                <w:color w:val="1A1A1A"/>
                <w:sz w:val="18"/>
              </w:rPr>
              <w:t>die Auswahl nach dem Ergebnis</w:t>
            </w:r>
          </w:p>
        </w:tc>
      </w:tr>
      <w:tr>
        <w:trPr>
          <w:cantSplit w:val="true"/>
        </w:trPr>
        <w:tc>
          <w:tcPr>
            <w:tcW w:type="dxa" w:w="3213"/>
            <w:shd w:val="clear" w:color="auto" w:fill="F3EFE6"/>
          </w:tcPr>
          <w:p>
            <w:pPr>
              <w:spacing w:after="0" w:before="0"/>
            </w:pPr>
            <w:r/>
            <w:r>
              <w:rPr>
                <w:b w:val="0"/>
                <w:i w:val="0"/>
                <w:color w:val="1A1A1A"/>
                <w:sz w:val="18"/>
              </w:rPr>
              <w:t>Vollständig berichten</w:t>
            </w:r>
          </w:p>
        </w:tc>
        <w:tc>
          <w:tcPr>
            <w:tcW w:type="dxa" w:w="3213"/>
            <w:shd w:val="clear" w:color="auto" w:fill="F3EFE6"/>
          </w:tcPr>
          <w:p>
            <w:pPr>
              <w:spacing w:after="0" w:before="0"/>
            </w:pPr>
            <w:r/>
            <w:r>
              <w:rPr>
                <w:b w:val="0"/>
                <w:i w:val="0"/>
                <w:color w:val="1A1A1A"/>
                <w:sz w:val="18"/>
              </w:rPr>
              <w:t>alle vereinbarten Zahlen, gute und schlechte, mit Ursache</w:t>
            </w:r>
          </w:p>
        </w:tc>
        <w:tc>
          <w:tcPr>
            <w:tcW w:type="dxa" w:w="3213"/>
            <w:shd w:val="clear" w:color="auto" w:fill="F3EFE6"/>
          </w:tcPr>
          <w:p>
            <w:pPr>
              <w:spacing w:after="0" w:before="0"/>
            </w:pPr>
            <w:r/>
            <w:r>
              <w:rPr>
                <w:b w:val="0"/>
                <w:i w:val="0"/>
                <w:color w:val="1A1A1A"/>
                <w:sz w:val="18"/>
              </w:rPr>
              <w:t>ein Bild, das die Messung nicht hergibt</w:t>
            </w:r>
          </w:p>
        </w:tc>
      </w:tr>
      <w:tr>
        <w:trPr>
          <w:cantSplit w:val="true"/>
        </w:trPr>
        <w:tc>
          <w:tcPr>
            <w:tcW w:type="dxa" w:w="3213"/>
          </w:tcPr>
          <w:p>
            <w:pPr>
              <w:spacing w:after="0" w:before="0"/>
            </w:pPr>
            <w:r/>
            <w:r>
              <w:rPr>
                <w:b w:val="0"/>
                <w:i w:val="0"/>
                <w:color w:val="1A1A1A"/>
                <w:sz w:val="18"/>
              </w:rPr>
              <w:t>Entscheidungen und Lehren nennen</w:t>
            </w:r>
          </w:p>
        </w:tc>
        <w:tc>
          <w:tcPr>
            <w:tcW w:type="dxa" w:w="3213"/>
          </w:tcPr>
          <w:p>
            <w:pPr>
              <w:spacing w:after="0" w:before="0"/>
            </w:pPr>
            <w:r/>
            <w:r>
              <w:rPr>
                <w:b w:val="0"/>
                <w:i w:val="0"/>
                <w:color w:val="1A1A1A"/>
                <w:sz w:val="18"/>
              </w:rPr>
              <w:t>wer was entschieden hat, was sich ändert, wer verantwortlich ist</w:t>
            </w:r>
          </w:p>
        </w:tc>
        <w:tc>
          <w:tcPr>
            <w:tcW w:type="dxa" w:w="3213"/>
          </w:tcPr>
          <w:p>
            <w:pPr>
              <w:spacing w:after="0" w:before="0"/>
            </w:pPr>
            <w:r/>
            <w:r>
              <w:rPr>
                <w:b w:val="0"/>
                <w:i w:val="0"/>
                <w:color w:val="1A1A1A"/>
                <w:sz w:val="18"/>
              </w:rPr>
              <w:t>dass derselbe Fehler wiederkehrt</w:t>
            </w:r>
          </w:p>
        </w:tc>
      </w:tr>
    </w:tbl>
    <w:p>
      <w:pPr>
        <w:spacing w:after="40"/>
      </w:pPr>
    </w:p>
    <w:p>
      <w:pPr>
        <w:pStyle w:val="Heading2"/>
      </w:pPr>
      <w:r>
        <w:t>Praktische Anwendung: einen Veranstaltungsbericht in sieben Schritten erstellen</w:t>
      </w:r>
    </w:p>
    <w:p>
      <w:pPr>
        <w:tabs>
          <w:tab w:pos="340" w:val="left"/>
        </w:tabs>
        <w:ind w:left="340" w:hanging="340"/>
      </w:pPr>
      <w:r>
        <w:rPr>
          <w:b/>
          <w:color w:val="8C5A2B"/>
        </w:rPr>
        <w:t>1.</w:t>
        <w:tab/>
      </w:r>
      <w:r>
        <w:rPr>
          <w:b/>
        </w:rPr>
        <w:t>Die Kennzahlen vorher vereinbaren.</w:t>
      </w:r>
      <w:r>
        <w:t xml:space="preserve"> Im Angebot stehen die Kennzahlen, die berichtet werden, mit Rechenweg, und der Satz, dass Vorfälle berichtet werden. Nach der Veranstaltung wird nichts mehr ausgewählt.</w:t>
      </w:r>
    </w:p>
    <w:p>
      <w:pPr>
        <w:tabs>
          <w:tab w:pos="340" w:val="left"/>
        </w:tabs>
        <w:ind w:left="340" w:hanging="340"/>
      </w:pPr>
      <w:r>
        <w:rPr>
          <w:b/>
          <w:color w:val="8C5A2B"/>
        </w:rPr>
        <w:t>2.</w:t>
        <w:tab/>
      </w:r>
      <w:r>
        <w:rPr>
          <w:b/>
        </w:rPr>
        <w:t>Messen, wie angekündigt.</w:t>
      </w:r>
      <w:r>
        <w:t xml:space="preserve"> Abfall wird gewogen, nicht geschätzt; die Teilnehmertage kommen aus einer festgelegten Quelle. Wiegescheine und Listen bleiben beim Messblatt.</w:t>
      </w:r>
    </w:p>
    <w:p>
      <w:pPr>
        <w:tabs>
          <w:tab w:pos="340" w:val="left"/>
        </w:tabs>
        <w:ind w:left="340" w:hanging="340"/>
      </w:pPr>
      <w:r>
        <w:rPr>
          <w:b/>
          <w:color w:val="8C5A2B"/>
        </w:rPr>
        <w:t>3.</w:t>
        <w:tab/>
      </w:r>
      <w:r>
        <w:rPr>
          <w:b/>
        </w:rPr>
        <w:t>Vorfälle am selben Tag erfassen.</w:t>
      </w:r>
      <w:r>
        <w:t xml:space="preserve"> Unfälle, Beschwerden, Abweichungen vom Plan werden mit Uhrzeit, Hergang und erster Massnahme festgehalten, ohne Namen im Berichtsteil.</w:t>
      </w:r>
    </w:p>
    <w:p>
      <w:pPr>
        <w:tabs>
          <w:tab w:pos="340" w:val="left"/>
        </w:tabs>
        <w:ind w:left="340" w:hanging="340"/>
      </w:pPr>
      <w:r>
        <w:rPr>
          <w:b/>
          <w:color w:val="8C5A2B"/>
        </w:rPr>
        <w:t>4.</w:t>
        <w:tab/>
      </w:r>
      <w:r>
        <w:rPr>
          <w:b/>
        </w:rPr>
        <w:t>Binnen einer Woche nachbesprechen.</w:t>
      </w:r>
      <w:r>
        <w:t xml:space="preserve"> Bankett, Küche, Technik, Empfang und Nachhaltigkeit ermitteln die Lehren, jede mit einer verantwortlichen Person und einem Termin.</w:t>
      </w:r>
    </w:p>
    <w:p>
      <w:pPr>
        <w:tabs>
          <w:tab w:pos="340" w:val="left"/>
        </w:tabs>
        <w:ind w:left="340" w:hanging="340"/>
      </w:pPr>
      <w:r>
        <w:rPr>
          <w:b/>
          <w:color w:val="8C5A2B"/>
        </w:rPr>
        <w:t>5.</w:t>
        <w:tab/>
      </w:r>
      <w:r>
        <w:rPr>
          <w:b/>
        </w:rPr>
        <w:t>Den Bericht gegen das Messblatt freigeben.</w:t>
      </w:r>
      <w:r>
        <w:t xml:space="preserve"> Eine zweite Person prüft, ob jede vereinbarte Zahl enthalten ist und ob ein Satz ein Bild erzeugt, das die Messung nicht stützt.</w:t>
      </w:r>
    </w:p>
    <w:p>
      <w:pPr>
        <w:tabs>
          <w:tab w:pos="340" w:val="left"/>
        </w:tabs>
        <w:ind w:left="340" w:hanging="340"/>
      </w:pPr>
      <w:r>
        <w:rPr>
          <w:b/>
          <w:color w:val="8C5A2B"/>
        </w:rPr>
        <w:t>6.</w:t>
        <w:tab/>
      </w:r>
      <w:r>
        <w:rPr>
          <w:b/>
        </w:rPr>
        <w:t>Schlechte Zahlen mit Ursache und Massnahme nennen.</w:t>
      </w:r>
      <w:r>
        <w:t xml:space="preserve"> Keine gestiegene Zahl ohne Erklärung, keine Erklärung ohne Massnahme, keine Massnahme ohne Termin.</w:t>
      </w:r>
    </w:p>
    <w:p>
      <w:pPr>
        <w:tabs>
          <w:tab w:pos="340" w:val="left"/>
        </w:tabs>
        <w:ind w:left="340" w:hanging="340"/>
      </w:pPr>
      <w:r>
        <w:rPr>
          <w:b/>
          <w:color w:val="8C5A2B"/>
        </w:rPr>
        <w:t>7.</w:t>
        <w:tab/>
      </w:r>
      <w:r>
        <w:rPr>
          <w:b/>
        </w:rPr>
        <w:t>Die Lehren weitergeben.</w:t>
      </w:r>
      <w:r>
        <w:t xml:space="preserve"> Sie gehen in den Ablaufplan der nächsten Veranstaltung und in die Managementbewertung (2.15); dort wird auch gegen die Leitprinzipien bewertet.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Kennzahlen vorher vereinbaren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Messen, wie angekündigt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Vorfälle am selben Tag erfassen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Binnen einer Woche nachbesprechen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Den Bericht gegen das Messblatt freigeben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Schlechte Zahlen mit Ursache und Massnahme nennen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Lehren weitergeben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Steht im Angebot, welche Kennzahlen nach der Veranstaltung berichtet werden?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für jede Kennzahl der Rechenweg festgehalten?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Werden Vorfälle am selben Tag erfasst und im Bericht genannt?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Gab es nach der letzten grossen Veranstaltung eine Nachbesprechung mit Protokoll?</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Prüft eine zweite Person den Bericht gegen das Messblatt?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Hätten wir den letzten Bericht auch mit einer schlechten Zahl verschickt?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Sind Personendaten aus dem Bericht entfernt?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die Managementbewertung die Leistung gegen die Leitprinzipien bewertet?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Nach dem Ergebnis auswählen.</w:t>
      </w:r>
      <w:r>
        <w:t xml:space="preserve"> Wer erst die Zahlen sieht und dann entscheidet, was er berichtet, berichtet nicht, sondern wirbt.</w:t>
      </w:r>
    </w:p>
    <w:p>
      <w:pPr>
        <w:tabs>
          <w:tab w:pos="340" w:val="left"/>
        </w:tabs>
        <w:ind w:left="340" w:hanging="340"/>
      </w:pPr>
      <w:r>
        <w:rPr>
          <w:color w:val="8C5A2B"/>
        </w:rPr>
        <w:t>–</w:t>
        <w:tab/>
      </w:r>
      <w:r>
        <w:rPr>
          <w:b/>
        </w:rPr>
        <w:t>Kennzahlen ohne Rechenweg nennen.</w:t>
      </w:r>
      <w:r>
        <w:t xml:space="preserve"> Im nächsten Jahr weiss niemand mehr, ob gewogen oder geschätzt wurde.</w:t>
      </w:r>
    </w:p>
    <w:p>
      <w:pPr>
        <w:tabs>
          <w:tab w:pos="340" w:val="left"/>
        </w:tabs>
        <w:ind w:left="340" w:hanging="340"/>
      </w:pPr>
      <w:r>
        <w:rPr>
          <w:color w:val="8C5A2B"/>
        </w:rPr>
        <w:t>–</w:t>
        <w:tab/>
      </w:r>
      <w:r>
        <w:rPr>
          <w:b/>
        </w:rPr>
        <w:t>Vorfälle mit der Pflichtmeldung für erledigt halten.</w:t>
      </w:r>
      <w:r>
        <w:t xml:space="preserve"> Die Meldung an den Versicherer erklärt nicht, wie es zum Unfall kam.</w:t>
      </w:r>
    </w:p>
    <w:p>
      <w:pPr>
        <w:tabs>
          <w:tab w:pos="340" w:val="left"/>
        </w:tabs>
        <w:ind w:left="340" w:hanging="340"/>
      </w:pPr>
      <w:r>
        <w:rPr>
          <w:color w:val="8C5A2B"/>
        </w:rPr>
        <w:t>–</w:t>
        <w:tab/>
      </w:r>
      <w:r>
        <w:rPr>
          <w:b/>
        </w:rPr>
        <w:t>Die Lehren im Kopf behalten.</w:t>
      </w:r>
      <w:r>
        <w:t xml:space="preserve"> Ein Bankettleiter, der das Haus verlässt, nimmt sie mit.</w:t>
      </w:r>
    </w:p>
    <w:p>
      <w:pPr>
        <w:tabs>
          <w:tab w:pos="340" w:val="left"/>
        </w:tabs>
        <w:ind w:left="340" w:hanging="340"/>
      </w:pPr>
      <w:r>
        <w:rPr>
          <w:color w:val="8C5A2B"/>
        </w:rPr>
        <w:t>–</w:t>
        <w:tab/>
      </w:r>
      <w:r>
        <w:rPr>
          <w:b/>
        </w:rPr>
        <w:t>Den Bericht der Verkaufsabteilung geben.</w:t>
      </w:r>
      <w:r>
        <w:t xml:space="preserve"> Er wird dann eine Broschüre, und der Kunde merkt es.</w:t>
      </w:r>
    </w:p>
    <w:p>
      <w:pPr>
        <w:tabs>
          <w:tab w:pos="340" w:val="left"/>
        </w:tabs>
        <w:ind w:left="340" w:hanging="340"/>
      </w:pPr>
      <w:r>
        <w:rPr>
          <w:color w:val="8C5A2B"/>
        </w:rPr>
        <w:t>–</w:t>
        <w:tab/>
      </w:r>
      <w:r>
        <w:rPr>
          <w:b/>
        </w:rPr>
        <w:t>Namen nennen, um ehrlich zu wirken.</w:t>
      </w:r>
      <w:r>
        <w:t xml:space="preserve"> Transparenz betrifft Entscheidungen und Ergebnisse, nicht die Gesundheit eines Mitarbeiters.</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Tagungspauschalen, 520 Teilnehmende × 3 Tage × CHF 145</w:t>
            </w:r>
          </w:p>
        </w:tc>
        <w:tc>
          <w:tcPr>
            <w:tcW w:type="dxa" w:w="1474"/>
          </w:tcPr>
          <w:p>
            <w:pPr>
              <w:spacing w:after="0" w:before="0"/>
            </w:pPr>
            <w:r/>
            <w:r>
              <w:rPr>
                <w:b w:val="0"/>
                <w:i w:val="0"/>
                <w:color w:val="1A1A1A"/>
                <w:sz w:val="18"/>
              </w:rPr>
              <w:t>CHF 226.200</w:t>
            </w:r>
          </w:p>
        </w:tc>
        <w:tc>
          <w:tcPr>
            <w:tcW w:type="dxa" w:w="3175"/>
          </w:tcPr>
          <w:p>
            <w:pPr>
              <w:spacing w:after="0" w:before="0"/>
            </w:pPr>
            <w:r/>
            <w:r>
              <w:rPr>
                <w:b w:val="0"/>
                <w:i w:val="0"/>
                <w:color w:val="1A1A1A"/>
                <w:sz w:val="18"/>
              </w:rPr>
              <w:t>ohne Übernachtungen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Übernachtungen, 190 Zimmer × 2 Nächte × CHF 230</w:t>
            </w:r>
          </w:p>
        </w:tc>
        <w:tc>
          <w:tcPr>
            <w:tcW w:type="dxa" w:w="1474"/>
            <w:shd w:val="clear" w:color="auto" w:fill="F3EFE6"/>
          </w:tcPr>
          <w:p>
            <w:pPr>
              <w:spacing w:after="0" w:before="0"/>
            </w:pPr>
            <w:r/>
            <w:r>
              <w:rPr>
                <w:b w:val="0"/>
                <w:i w:val="0"/>
                <w:color w:val="1A1A1A"/>
                <w:sz w:val="18"/>
              </w:rPr>
              <w:t>CHF 87.400</w:t>
            </w:r>
          </w:p>
        </w:tc>
        <w:tc>
          <w:tcPr>
            <w:tcW w:type="dxa" w:w="3175"/>
            <w:shd w:val="clear" w:color="auto" w:fill="F3EFE6"/>
          </w:tcPr>
          <w:p>
            <w:pPr>
              <w:spacing w:after="0" w:before="0"/>
            </w:pPr>
            <w:r/>
            <w:r>
              <w:rPr>
                <w:b w:val="0"/>
                <w:i w:val="0"/>
                <w:color w:val="1A1A1A"/>
                <w:sz w:val="18"/>
              </w:rPr>
              <w:t>Kontingent des Verbands</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Wiegen und Messblatt</w:t>
            </w:r>
          </w:p>
        </w:tc>
        <w:tc>
          <w:tcPr>
            <w:tcW w:type="dxa" w:w="1474"/>
          </w:tcPr>
          <w:p>
            <w:pPr>
              <w:spacing w:after="0" w:before="0"/>
            </w:pPr>
            <w:r/>
            <w:r>
              <w:rPr>
                <w:b w:val="0"/>
                <w:i w:val="0"/>
                <w:color w:val="1A1A1A"/>
                <w:sz w:val="18"/>
              </w:rPr>
              <w:t>6 Stunden</w:t>
            </w:r>
          </w:p>
        </w:tc>
        <w:tc>
          <w:tcPr>
            <w:tcW w:type="dxa" w:w="3175"/>
          </w:tcPr>
          <w:p>
            <w:pPr>
              <w:spacing w:after="0" w:before="0"/>
            </w:pPr>
            <w:r/>
            <w:r>
              <w:rPr>
                <w:b w:val="0"/>
                <w:i w:val="0"/>
                <w:color w:val="1A1A1A"/>
                <w:sz w:val="18"/>
              </w:rPr>
              <w:t>je Tagung, Bankett und Nachhaltigkeit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Nachbesprechung mit fünf Abteilungen</w:t>
            </w:r>
          </w:p>
        </w:tc>
        <w:tc>
          <w:tcPr>
            <w:tcW w:type="dxa" w:w="1474"/>
            <w:shd w:val="clear" w:color="auto" w:fill="F3EFE6"/>
          </w:tcPr>
          <w:p>
            <w:pPr>
              <w:spacing w:after="0" w:before="0"/>
            </w:pPr>
            <w:r/>
            <w:r>
              <w:rPr>
                <w:b w:val="0"/>
                <w:i w:val="0"/>
                <w:color w:val="1A1A1A"/>
                <w:sz w:val="18"/>
              </w:rPr>
              <w:t>8 Stunden</w:t>
            </w:r>
          </w:p>
        </w:tc>
        <w:tc>
          <w:tcPr>
            <w:tcW w:type="dxa" w:w="3175"/>
            <w:shd w:val="clear" w:color="auto" w:fill="F3EFE6"/>
          </w:tcPr>
          <w:p>
            <w:pPr>
              <w:spacing w:after="0" w:before="0"/>
            </w:pPr>
            <w:r/>
            <w:r>
              <w:rPr>
                <w:b w:val="0"/>
                <w:i w:val="0"/>
                <w:color w:val="1A1A1A"/>
                <w:sz w:val="18"/>
              </w:rPr>
              <w:t>je Tagung, gesamt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Bericht schreiben und freigeben</w:t>
            </w:r>
          </w:p>
        </w:tc>
        <w:tc>
          <w:tcPr>
            <w:tcW w:type="dxa" w:w="1474"/>
          </w:tcPr>
          <w:p>
            <w:pPr>
              <w:spacing w:after="0" w:before="0"/>
            </w:pPr>
            <w:r/>
            <w:r>
              <w:rPr>
                <w:b w:val="0"/>
                <w:i w:val="0"/>
                <w:color w:val="1A1A1A"/>
                <w:sz w:val="18"/>
              </w:rPr>
              <w:t>14 Stunden</w:t>
            </w:r>
          </w:p>
        </w:tc>
        <w:tc>
          <w:tcPr>
            <w:tcW w:type="dxa" w:w="3175"/>
          </w:tcPr>
          <w:p>
            <w:pPr>
              <w:spacing w:after="0" w:before="0"/>
            </w:pPr>
            <w:r/>
            <w:r>
              <w:rPr>
                <w:b w:val="0"/>
                <w:i w:val="0"/>
                <w:color w:val="1A1A1A"/>
                <w:sz w:val="18"/>
              </w:rPr>
              <w:t>je Tagung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Mehrkosten Einweg an zwei Tagen</w:t>
            </w:r>
          </w:p>
        </w:tc>
        <w:tc>
          <w:tcPr>
            <w:tcW w:type="dxa" w:w="1474"/>
            <w:shd w:val="clear" w:color="auto" w:fill="F3EFE6"/>
          </w:tcPr>
          <w:p>
            <w:pPr>
              <w:spacing w:after="0" w:before="0"/>
            </w:pPr>
            <w:r/>
            <w:r>
              <w:rPr>
                <w:b w:val="0"/>
                <w:i w:val="0"/>
                <w:color w:val="1A1A1A"/>
                <w:sz w:val="18"/>
              </w:rPr>
              <w:t>CHF 1.900</w:t>
            </w:r>
          </w:p>
        </w:tc>
        <w:tc>
          <w:tcPr>
            <w:tcW w:type="dxa" w:w="3175"/>
            <w:shd w:val="clear" w:color="auto" w:fill="F3EFE6"/>
          </w:tcPr>
          <w:p>
            <w:pPr>
              <w:spacing w:after="0" w:before="0"/>
            </w:pPr>
            <w:r/>
            <w:r>
              <w:rPr>
                <w:b w:val="0"/>
                <w:i w:val="0"/>
                <w:color w:val="1A1A1A"/>
                <w:sz w:val="18"/>
              </w:rPr>
              <w:t>Becher, Deckel, Entsorgung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Zweite Kraft in der Spülküche für drei Abende</w:t>
            </w:r>
          </w:p>
        </w:tc>
        <w:tc>
          <w:tcPr>
            <w:tcW w:type="dxa" w:w="1474"/>
          </w:tcPr>
          <w:p>
            <w:pPr>
              <w:spacing w:after="0" w:before="0"/>
            </w:pPr>
            <w:r/>
            <w:r>
              <w:rPr>
                <w:b w:val="0"/>
                <w:i w:val="0"/>
                <w:color w:val="1A1A1A"/>
                <w:sz w:val="18"/>
              </w:rPr>
              <w:t>CHF 1.350</w:t>
            </w:r>
          </w:p>
        </w:tc>
        <w:tc>
          <w:tcPr>
            <w:tcW w:type="dxa" w:w="3175"/>
          </w:tcPr>
          <w:p>
            <w:pPr>
              <w:spacing w:after="0" w:before="0"/>
            </w:pPr>
            <w:r/>
            <w:r>
              <w:rPr>
                <w:b w:val="0"/>
                <w:i w:val="0"/>
                <w:color w:val="1A1A1A"/>
                <w:sz w:val="18"/>
              </w:rPr>
              <w:t>was am ersten Abend gefehlt hat</w:t>
            </w:r>
          </w:p>
        </w:tc>
        <w:tc>
          <w:tcPr>
            <w:tcW w:type="dxa" w:w="1814"/>
          </w:tcPr>
          <w:p>
            <w:pPr>
              <w:spacing w:after="0" w:before="0"/>
            </w:pPr>
            <w:r/>
            <w:r>
              <w:rPr>
                <w:b w:val="0"/>
                <w:i w:val="0"/>
                <w:color w:val="1A1A1A"/>
                <w:sz w:val="18"/>
              </w:rPr>
            </w:r>
          </w:p>
        </w:tc>
      </w:tr>
    </w:tbl>
    <w:p>
      <w:pPr>
        <w:spacing w:after="40"/>
      </w:pPr>
    </w:p>
    <w:p>
      <w:r>
        <w:rPr>
          <w:b w:val="0"/>
          <w:i w:val="0"/>
        </w:rPr>
        <w:t>Die Rechnung vergleicht keine Kosten mit einem Nutzen, den niemand beziffern kann. Sie stellt nur nebeneinander, was auf dem Spiel stand und was die Ehrlichkeit kostet. Achtundzwanzig Stunden je Tagung sind gegen einen Umsatz von rund CHF 314.000 eine kleine Zahl. Die zweite Kraft in der Spülküche hätte weniger gekostet als die Einwegbecher.</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Transparenz im Leitbild (4.5)</w:t>
            </w:r>
          </w:p>
        </w:tc>
        <w:tc>
          <w:tcPr>
            <w:tcW w:type="dxa" w:w="3175"/>
          </w:tcPr>
          <w:p>
            <w:pPr>
              <w:spacing w:after="0" w:before="0"/>
            </w:pPr>
            <w:r/>
            <w:r>
              <w:rPr>
                <w:b w:val="0"/>
                <w:i w:val="0"/>
                <w:color w:val="1A1A1A"/>
                <w:sz w:val="18"/>
              </w:rPr>
              <w:t>unterzeichnetes Leitbild mit dem Satz des Verwaltungsrats</w:t>
            </w:r>
          </w:p>
        </w:tc>
        <w:tc>
          <w:tcPr>
            <w:tcW w:type="dxa" w:w="3175"/>
          </w:tcPr>
          <w:p>
            <w:pPr>
              <w:spacing w:after="0" w:before="0"/>
            </w:pPr>
            <w:r/>
            <w:r>
              <w:rPr>
                <w:b w:val="0"/>
                <w:i w:val="0"/>
                <w:color w:val="1A1A1A"/>
                <w:sz w:val="18"/>
              </w:rPr>
              <w:t>Formulierung des Satzes</w:t>
            </w:r>
          </w:p>
        </w:tc>
      </w:tr>
      <w:tr>
        <w:trPr>
          <w:cantSplit w:val="true"/>
        </w:trPr>
        <w:tc>
          <w:tcPr>
            <w:tcW w:type="dxa" w:w="3288"/>
            <w:shd w:val="clear" w:color="auto" w:fill="F3EFE6"/>
          </w:tcPr>
          <w:p>
            <w:pPr>
              <w:spacing w:after="0" w:before="0"/>
            </w:pPr>
            <w:r/>
            <w:r>
              <w:rPr>
                <w:b w:val="0"/>
                <w:i w:val="0"/>
                <w:color w:val="1A1A1A"/>
                <w:sz w:val="18"/>
              </w:rPr>
              <w:t>Verpflichtung zur Bewertung und Berichterstattung in der Politik (5.2 e)</w:t>
            </w:r>
          </w:p>
        </w:tc>
        <w:tc>
          <w:tcPr>
            <w:tcW w:type="dxa" w:w="3175"/>
            <w:shd w:val="clear" w:color="auto" w:fill="F3EFE6"/>
          </w:tcPr>
          <w:p>
            <w:pPr>
              <w:spacing w:after="0" w:before="0"/>
            </w:pPr>
            <w:r/>
            <w:r>
              <w:rPr>
                <w:b w:val="0"/>
                <w:i w:val="0"/>
                <w:color w:val="1A1A1A"/>
                <w:sz w:val="18"/>
              </w:rPr>
              <w:t>Absatz in der datierten und unterzeichneten Politik</w:t>
            </w:r>
          </w:p>
        </w:tc>
        <w:tc>
          <w:tcPr>
            <w:tcW w:type="dxa" w:w="3175"/>
            <w:shd w:val="clear" w:color="auto" w:fill="F3EFE6"/>
          </w:tcPr>
          <w:p>
            <w:pPr>
              <w:spacing w:after="0" w:before="0"/>
            </w:pPr>
            <w:r/>
            <w:r>
              <w:rPr>
                <w:b w:val="0"/>
                <w:i w:val="0"/>
                <w:color w:val="1A1A1A"/>
                <w:sz w:val="18"/>
              </w:rPr>
              <w:t>Gliederung des Berichts nach C.3</w:t>
            </w:r>
          </w:p>
        </w:tc>
      </w:tr>
      <w:tr>
        <w:trPr>
          <w:cantSplit w:val="true"/>
        </w:trPr>
        <w:tc>
          <w:tcPr>
            <w:tcW w:type="dxa" w:w="3288"/>
          </w:tcPr>
          <w:p>
            <w:pPr>
              <w:spacing w:after="0" w:before="0"/>
            </w:pPr>
            <w:r/>
            <w:r>
              <w:rPr>
                <w:b w:val="0"/>
                <w:i w:val="0"/>
                <w:color w:val="1A1A1A"/>
                <w:sz w:val="18"/>
              </w:rPr>
              <w:t>Keine irreführende Kommunikation (7.4)</w:t>
            </w:r>
          </w:p>
        </w:tc>
        <w:tc>
          <w:tcPr>
            <w:tcW w:type="dxa" w:w="3175"/>
          </w:tcPr>
          <w:p>
            <w:pPr>
              <w:spacing w:after="0" w:before="0"/>
            </w:pPr>
            <w:r/>
            <w:r>
              <w:rPr>
                <w:b w:val="0"/>
                <w:i w:val="0"/>
                <w:color w:val="1A1A1A"/>
                <w:sz w:val="18"/>
              </w:rPr>
              <w:t>Freigabe des Berichts gegen das Messblatt, mit Unterschrift</w:t>
            </w:r>
          </w:p>
        </w:tc>
        <w:tc>
          <w:tcPr>
            <w:tcW w:type="dxa" w:w="3175"/>
          </w:tcPr>
          <w:p>
            <w:pPr>
              <w:spacing w:after="0" w:before="0"/>
            </w:pPr>
            <w:r/>
            <w:r>
              <w:rPr>
                <w:b w:val="0"/>
                <w:i w:val="0"/>
                <w:color w:val="1A1A1A"/>
                <w:sz w:val="18"/>
              </w:rPr>
              <w:t>Vier-Augen-Prinzip als Methode</w:t>
            </w:r>
          </w:p>
        </w:tc>
      </w:tr>
      <w:tr>
        <w:trPr>
          <w:cantSplit w:val="true"/>
        </w:trPr>
        <w:tc>
          <w:tcPr>
            <w:tcW w:type="dxa" w:w="3288"/>
            <w:shd w:val="clear" w:color="auto" w:fill="F3EFE6"/>
          </w:tcPr>
          <w:p>
            <w:pPr>
              <w:spacing w:after="0" w:before="0"/>
            </w:pPr>
            <w:r/>
            <w:r>
              <w:rPr>
                <w:b w:val="0"/>
                <w:i w:val="0"/>
                <w:color w:val="1A1A1A"/>
                <w:sz w:val="18"/>
              </w:rPr>
              <w:t>Dokumentierte Information zur Leistung (9.1)</w:t>
            </w:r>
          </w:p>
        </w:tc>
        <w:tc>
          <w:tcPr>
            <w:tcW w:type="dxa" w:w="3175"/>
            <w:shd w:val="clear" w:color="auto" w:fill="F3EFE6"/>
          </w:tcPr>
          <w:p>
            <w:pPr>
              <w:spacing w:after="0" w:before="0"/>
            </w:pPr>
            <w:r/>
            <w:r>
              <w:rPr>
                <w:b w:val="0"/>
                <w:i w:val="0"/>
                <w:color w:val="1A1A1A"/>
                <w:sz w:val="18"/>
              </w:rPr>
              <w:t>Messblatt der Tagung mit Rechenweg und Wiegescheinen</w:t>
            </w:r>
          </w:p>
        </w:tc>
        <w:tc>
          <w:tcPr>
            <w:tcW w:type="dxa" w:w="3175"/>
            <w:shd w:val="clear" w:color="auto" w:fill="F3EFE6"/>
          </w:tcPr>
          <w:p>
            <w:pPr>
              <w:spacing w:after="0" w:before="0"/>
            </w:pPr>
            <w:r/>
            <w:r>
              <w:rPr>
                <w:b w:val="0"/>
                <w:i w:val="0"/>
                <w:color w:val="1A1A1A"/>
                <w:sz w:val="18"/>
              </w:rPr>
              <w:t>Auswahl der Kennzahlen nach A.20</w:t>
            </w:r>
          </w:p>
        </w:tc>
      </w:tr>
      <w:tr>
        <w:trPr>
          <w:cantSplit w:val="true"/>
        </w:trPr>
        <w:tc>
          <w:tcPr>
            <w:tcW w:type="dxa" w:w="3288"/>
          </w:tcPr>
          <w:p>
            <w:pPr>
              <w:spacing w:after="0" w:before="0"/>
            </w:pPr>
            <w:r/>
            <w:r>
              <w:rPr>
                <w:b w:val="0"/>
                <w:i w:val="0"/>
                <w:color w:val="1A1A1A"/>
                <w:sz w:val="18"/>
              </w:rPr>
              <w:t>Lehren aus jeder Veranstaltung, in die Planung (9.1 c)</w:t>
            </w:r>
          </w:p>
        </w:tc>
        <w:tc>
          <w:tcPr>
            <w:tcW w:type="dxa" w:w="3175"/>
          </w:tcPr>
          <w:p>
            <w:pPr>
              <w:spacing w:after="0" w:before="0"/>
            </w:pPr>
            <w:r/>
            <w:r>
              <w:rPr>
                <w:b w:val="0"/>
                <w:i w:val="0"/>
                <w:color w:val="1A1A1A"/>
                <w:sz w:val="18"/>
              </w:rPr>
              <w:t>Protokoll der Nachbesprechung, geänderter Ablaufplan</w:t>
            </w:r>
          </w:p>
        </w:tc>
        <w:tc>
          <w:tcPr>
            <w:tcW w:type="dxa" w:w="3175"/>
          </w:tcPr>
          <w:p>
            <w:pPr>
              <w:spacing w:after="0" w:before="0"/>
            </w:pPr>
            <w:r/>
            <w:r>
              <w:rPr>
                <w:b w:val="0"/>
                <w:i w:val="0"/>
                <w:color w:val="1A1A1A"/>
                <w:sz w:val="18"/>
              </w:rPr>
              <w:t>Zugänglichkeit für Parteien als Soll</w:t>
            </w:r>
          </w:p>
        </w:tc>
      </w:tr>
      <w:tr>
        <w:trPr>
          <w:cantSplit w:val="true"/>
        </w:trPr>
        <w:tc>
          <w:tcPr>
            <w:tcW w:type="dxa" w:w="3288"/>
            <w:shd w:val="clear" w:color="auto" w:fill="F3EFE6"/>
          </w:tcPr>
          <w:p>
            <w:pPr>
              <w:spacing w:after="0" w:before="0"/>
            </w:pPr>
            <w:r/>
            <w:r>
              <w:rPr>
                <w:b w:val="0"/>
                <w:i w:val="0"/>
                <w:color w:val="1A1A1A"/>
                <w:sz w:val="18"/>
              </w:rPr>
              <w:t>Bewertung gegen die Leitprinzipien (9.3.4)</w:t>
            </w:r>
          </w:p>
        </w:tc>
        <w:tc>
          <w:tcPr>
            <w:tcW w:type="dxa" w:w="3175"/>
            <w:shd w:val="clear" w:color="auto" w:fill="F3EFE6"/>
          </w:tcPr>
          <w:p>
            <w:pPr>
              <w:spacing w:after="0" w:before="0"/>
            </w:pPr>
            <w:r/>
            <w:r>
              <w:rPr>
                <w:b w:val="0"/>
                <w:i w:val="0"/>
                <w:color w:val="1A1A1A"/>
                <w:sz w:val="18"/>
              </w:rPr>
              <w:t>Protokoll der Managementbewertung mit einer Zeile zur Transparenz</w:t>
            </w:r>
          </w:p>
        </w:tc>
        <w:tc>
          <w:tcPr>
            <w:tcW w:type="dxa" w:w="3175"/>
            <w:shd w:val="clear" w:color="auto" w:fill="F3EFE6"/>
          </w:tcPr>
          <w:p>
            <w:pPr>
              <w:spacing w:after="0" w:before="0"/>
            </w:pPr>
            <w:r/>
            <w:r>
              <w:rPr>
                <w:b w:val="0"/>
                <w:i w:val="0"/>
                <w:color w:val="1A1A1A"/>
                <w:sz w:val="18"/>
              </w:rPr>
              <w:t>Reifegradmatrix der Tabelle A.5</w:t>
            </w:r>
          </w:p>
        </w:tc>
      </w:tr>
    </w:tbl>
    <w:p>
      <w:pPr>
        <w:spacing w:after="40"/>
      </w:pPr>
    </w:p>
    <w:p>
      <w:pPr>
        <w:pStyle w:val="Heading2"/>
      </w:pPr>
      <w:r>
        <w:t>DACH-Anker: Pflichtbericht, Aussagen und Meldungen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Pflicht zum Nachhaltigkeitsbericht</w:t>
            </w:r>
          </w:p>
        </w:tc>
        <w:tc>
          <w:tcPr>
            <w:tcW w:type="dxa" w:w="2721"/>
          </w:tcPr>
          <w:p>
            <w:pPr>
              <w:spacing w:after="0" w:before="0"/>
            </w:pPr>
            <w:r/>
            <w:r>
              <w:rPr>
                <w:b w:val="0"/>
                <w:i w:val="0"/>
                <w:color w:val="1A1A1A"/>
                <w:sz w:val="17"/>
              </w:rPr>
              <w:t>nach Omnibus I künftig, nach Umsetzung in nationales Recht, nur über 1.000 Beschäftigte und über 450 Mio. Euro Umsatz</w:t>
            </w:r>
          </w:p>
        </w:tc>
        <w:tc>
          <w:tcPr>
            <w:tcW w:type="dxa" w:w="2721"/>
          </w:tcPr>
          <w:p>
            <w:pPr>
              <w:spacing w:after="0" w:before="0"/>
            </w:pPr>
            <w:r/>
            <w:r>
              <w:rPr>
                <w:b w:val="0"/>
                <w:i w:val="0"/>
                <w:color w:val="1A1A1A"/>
                <w:sz w:val="17"/>
              </w:rPr>
              <w:t>wie Deutschland (Unionsrecht)</w:t>
            </w:r>
          </w:p>
        </w:tc>
        <w:tc>
          <w:tcPr>
            <w:tcW w:type="dxa" w:w="2721"/>
          </w:tcPr>
          <w:p>
            <w:pPr>
              <w:spacing w:after="0" w:before="0"/>
            </w:pPr>
            <w:r/>
            <w:r>
              <w:rPr>
                <w:b w:val="0"/>
                <w:i w:val="0"/>
                <w:color w:val="1A1A1A"/>
                <w:sz w:val="17"/>
              </w:rPr>
              <w:t>Art. 964a ff. OR: Gesellschaften des öffentlichen Interesses, die zusammen mit den von ihnen kontrollierten Unternehmen in zwei aufeinanderfolgenden Geschäftsjahren mindestens 500 Vollzeitstellen aufweisen und CHF 20 Mio. Bilanzsumme oder CHF 40 Mio. Umsatz überschreiten</w:t>
            </w:r>
          </w:p>
        </w:tc>
      </w:tr>
      <w:tr>
        <w:trPr>
          <w:cantSplit w:val="true"/>
        </w:trPr>
        <w:tc>
          <w:tcPr>
            <w:tcW w:type="dxa" w:w="1474"/>
            <w:shd w:val="clear" w:color="auto" w:fill="F3EFE6"/>
          </w:tcPr>
          <w:p>
            <w:pPr>
              <w:spacing w:after="0" w:before="0"/>
            </w:pPr>
            <w:r/>
            <w:r>
              <w:rPr>
                <w:b w:val="0"/>
                <w:i w:val="0"/>
                <w:color w:val="1A1A1A"/>
                <w:sz w:val="17"/>
              </w:rPr>
              <w:t>Umwelt- und Klimaaussagen in Werbung und Bericht</w:t>
            </w:r>
          </w:p>
        </w:tc>
        <w:tc>
          <w:tcPr>
            <w:tcW w:type="dxa" w:w="2721"/>
            <w:shd w:val="clear" w:color="auto" w:fill="F3EFE6"/>
          </w:tcPr>
          <w:p>
            <w:pPr>
              <w:spacing w:after="0" w:before="0"/>
            </w:pPr>
            <w:r/>
            <w:r>
              <w:rPr>
                <w:b w:val="0"/>
                <w:i w:val="0"/>
                <w:color w:val="1A1A1A"/>
                <w:sz w:val="17"/>
              </w:rPr>
              <w:t>UWG, neue Regeln gegenüber Verbrauchern ab 27. September 2026</w:t>
            </w:r>
          </w:p>
        </w:tc>
        <w:tc>
          <w:tcPr>
            <w:tcW w:type="dxa" w:w="2721"/>
            <w:shd w:val="clear" w:color="auto" w:fill="F3EFE6"/>
          </w:tcPr>
          <w:p>
            <w:pPr>
              <w:spacing w:after="0" w:before="0"/>
            </w:pPr>
            <w:r/>
            <w:r>
              <w:rPr>
                <w:b w:val="0"/>
                <w:i w:val="0"/>
                <w:color w:val="1A1A1A"/>
                <w:sz w:val="17"/>
              </w:rPr>
              <w:t>UWG-Novelle, BGBl. I Nr. 58/2026, gegenüber Verbrauchern ab 27. September 2026</w:t>
            </w:r>
          </w:p>
        </w:tc>
        <w:tc>
          <w:tcPr>
            <w:tcW w:type="dxa" w:w="2721"/>
            <w:shd w:val="clear" w:color="auto" w:fill="F3EFE6"/>
          </w:tcPr>
          <w:p>
            <w:pPr>
              <w:spacing w:after="0" w:before="0"/>
            </w:pPr>
            <w:r/>
            <w:r>
              <w:rPr>
                <w:b w:val="0"/>
                <w:i w:val="0"/>
                <w:color w:val="1A1A1A"/>
                <w:sz w:val="17"/>
              </w:rPr>
              <w:t>Art. 3 Abs. 1 lit. x UWG seit 1. Januar 2025</w:t>
            </w:r>
          </w:p>
        </w:tc>
      </w:tr>
      <w:tr>
        <w:trPr>
          <w:cantSplit w:val="true"/>
        </w:trPr>
        <w:tc>
          <w:tcPr>
            <w:tcW w:type="dxa" w:w="1474"/>
          </w:tcPr>
          <w:p>
            <w:pPr>
              <w:spacing w:after="0" w:before="0"/>
            </w:pPr>
            <w:r/>
            <w:r>
              <w:rPr>
                <w:b w:val="0"/>
                <w:i w:val="0"/>
                <w:color w:val="1A1A1A"/>
                <w:sz w:val="17"/>
              </w:rPr>
              <w:t>Arbeitsunfall</w:t>
            </w:r>
          </w:p>
        </w:tc>
        <w:tc>
          <w:tcPr>
            <w:tcW w:type="dxa" w:w="2721"/>
          </w:tcPr>
          <w:p>
            <w:pPr>
              <w:spacing w:after="0" w:before="0"/>
            </w:pPr>
            <w:r/>
            <w:r>
              <w:rPr>
                <w:b w:val="0"/>
                <w:i w:val="0"/>
                <w:color w:val="1A1A1A"/>
                <w:sz w:val="17"/>
              </w:rPr>
              <w:t>Anzeige an den Unfallversicherungsträger binnen drei Tagen, wenn mehr als drei Tage arbeitsunfähig (§ 193 SGB VII)</w:t>
            </w:r>
          </w:p>
        </w:tc>
        <w:tc>
          <w:tcPr>
            <w:tcW w:type="dxa" w:w="2721"/>
          </w:tcPr>
          <w:p>
            <w:pPr>
              <w:spacing w:after="0" w:before="0"/>
            </w:pPr>
            <w:r/>
            <w:r>
              <w:rPr>
                <w:b w:val="0"/>
                <w:i w:val="0"/>
                <w:color w:val="1A1A1A"/>
                <w:sz w:val="17"/>
              </w:rPr>
              <w:t>Meldung an den Unfallversicherungsträger binnen fünf Tagen, wenn mehr als drei Tage arbeitsunfähig (§ 363 ASVG)</w:t>
            </w:r>
          </w:p>
        </w:tc>
        <w:tc>
          <w:tcPr>
            <w:tcW w:type="dxa" w:w="2721"/>
          </w:tcPr>
          <w:p>
            <w:pPr>
              <w:spacing w:after="0" w:before="0"/>
            </w:pPr>
            <w:r/>
            <w:r>
              <w:rPr>
                <w:b w:val="0"/>
                <w:i w:val="0"/>
                <w:color w:val="1A1A1A"/>
                <w:sz w:val="17"/>
              </w:rPr>
              <w:t>Arbeitgeber meldet dem Unfallversicherer unverzüglich</w:t>
            </w:r>
          </w:p>
        </w:tc>
      </w:tr>
      <w:tr>
        <w:trPr>
          <w:cantSplit w:val="true"/>
        </w:trPr>
        <w:tc>
          <w:tcPr>
            <w:tcW w:type="dxa" w:w="1474"/>
            <w:shd w:val="clear" w:color="auto" w:fill="F3EFE6"/>
          </w:tcPr>
          <w:p>
            <w:pPr>
              <w:spacing w:after="0" w:before="0"/>
            </w:pPr>
            <w:r/>
            <w:r>
              <w:rPr>
                <w:b w:val="0"/>
                <w:i w:val="0"/>
                <w:color w:val="1A1A1A"/>
                <w:sz w:val="17"/>
              </w:rPr>
              <w:t>Zugang für Menschen mit Behinderungen</w:t>
            </w:r>
          </w:p>
        </w:tc>
        <w:tc>
          <w:tcPr>
            <w:tcW w:type="dxa" w:w="2721"/>
            <w:shd w:val="clear" w:color="auto" w:fill="F3EFE6"/>
          </w:tcPr>
          <w:p>
            <w:pPr>
              <w:spacing w:after="0" w:before="0"/>
            </w:pPr>
            <w:r/>
            <w:r>
              <w:rPr>
                <w:b w:val="0"/>
                <w:i w:val="0"/>
                <w:color w:val="1A1A1A"/>
                <w:sz w:val="17"/>
              </w:rPr>
              <w:t>BFSG für Online-Buchung (1.12)</w:t>
            </w:r>
          </w:p>
        </w:tc>
        <w:tc>
          <w:tcPr>
            <w:tcW w:type="dxa" w:w="2721"/>
            <w:shd w:val="clear" w:color="auto" w:fill="F3EFE6"/>
          </w:tcPr>
          <w:p>
            <w:pPr>
              <w:spacing w:after="0" w:before="0"/>
            </w:pPr>
            <w:r/>
            <w:r>
              <w:rPr>
                <w:b w:val="0"/>
                <w:i w:val="0"/>
                <w:color w:val="1A1A1A"/>
                <w:sz w:val="17"/>
              </w:rPr>
              <w:t>BaFG für Buchungsmöglichkeiten (1.12)</w:t>
            </w:r>
          </w:p>
        </w:tc>
        <w:tc>
          <w:tcPr>
            <w:tcW w:type="dxa" w:w="2721"/>
            <w:shd w:val="clear" w:color="auto" w:fill="F3EFE6"/>
          </w:tcPr>
          <w:p>
            <w:pPr>
              <w:spacing w:after="0" w:before="0"/>
            </w:pPr>
            <w:r/>
            <w:r>
              <w:rPr>
                <w:b w:val="0"/>
                <w:i w:val="0"/>
                <w:color w:val="1A1A1A"/>
                <w:sz w:val="17"/>
              </w:rPr>
              <w:t>Art. 6 BehiG: keine Diskriminierung bei öffentlich angebotenen Dienstleistungen</w:t>
            </w:r>
          </w:p>
        </w:tc>
      </w:tr>
      <w:tr>
        <w:trPr>
          <w:cantSplit w:val="true"/>
        </w:trPr>
        <w:tc>
          <w:tcPr>
            <w:tcW w:type="dxa" w:w="1474"/>
          </w:tcPr>
          <w:p>
            <w:pPr>
              <w:spacing w:after="0" w:before="0"/>
            </w:pPr>
            <w:r/>
            <w:r>
              <w:rPr>
                <w:b w:val="0"/>
                <w:i w:val="0"/>
                <w:color w:val="1A1A1A"/>
                <w:sz w:val="17"/>
              </w:rPr>
              <w:t>Personen im Bericht</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totalrevidiertes Datenschutzgesetz, in Kraft seit 1. September 2023</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1.10.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1.10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1.10 — Einen Veranstaltungsbericht erstellen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