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1.11</w:t>
      </w:r>
    </w:p>
    <w:p>
      <w:pPr>
        <w:pStyle w:val="Heading1"/>
      </w:pPr>
      <w:r>
        <w:t>Die Marke an das Vermächtnis binden</w:t>
      </w:r>
    </w:p>
    <w:p>
      <w:pPr>
        <w:spacing w:after="0"/>
      </w:pPr>
      <w:r>
        <w:rPr>
          <w:b w:val="0"/>
          <w:i/>
          <w:color w:val="5A5A5A"/>
        </w:rPr>
        <w:t>Abschnitt 1.11 · Marke, Anziehungskraft und Vermächtnis</w:t>
      </w:r>
    </w:p>
    <w:p>
      <w:pPr>
        <w:spacing w:after="160"/>
      </w:pPr>
      <w:r>
        <w:rPr>
          <w:b w:val="0"/>
          <w:i w:val="0"/>
          <w:color w:val="5A5A5A"/>
          <w:sz w:val="18"/>
        </w:rPr>
        <w:t>Modellfall im Buch: Salzburg</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Was soll von einem Fest in Ihrem Haus übrig sein, wenn die Gäste abgereist sind und die Bühne abgebaut ist? Und könnten Sie heute schon belegen, was Ihre Werbung darüber verspricht?</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Was bleibt, und wie es zu belegen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Vermächtnis</w:t>
            </w:r>
          </w:p>
        </w:tc>
        <w:tc>
          <w:tcPr>
            <w:tcW w:type="dxa" w:w="3213"/>
            <w:shd w:val="clear" w:color="auto" w:fill="8C5A2B"/>
          </w:tcPr>
          <w:p>
            <w:pPr>
              <w:spacing w:after="0" w:before="0"/>
            </w:pPr>
            <w:r/>
            <w:r>
              <w:rPr>
                <w:b/>
                <w:i w:val="0"/>
                <w:color w:val="FFFFFF"/>
                <w:sz w:val="18"/>
              </w:rPr>
              <w:t>Art</w:t>
            </w:r>
          </w:p>
        </w:tc>
        <w:tc>
          <w:tcPr>
            <w:tcW w:type="dxa" w:w="3213"/>
            <w:shd w:val="clear" w:color="auto" w:fill="8C5A2B"/>
          </w:tcPr>
          <w:p>
            <w:pPr>
              <w:spacing w:after="0" w:before="0"/>
            </w:pPr>
            <w:r/>
            <w:r>
              <w:rPr>
                <w:b/>
                <w:i w:val="0"/>
                <w:color w:val="FFFFFF"/>
                <w:sz w:val="18"/>
              </w:rPr>
              <w:t>Beleg im Haus</w:t>
            </w:r>
          </w:p>
        </w:tc>
      </w:tr>
      <w:tr>
        <w:trPr>
          <w:cantSplit w:val="true"/>
        </w:trPr>
        <w:tc>
          <w:tcPr>
            <w:tcW w:type="dxa" w:w="3213"/>
          </w:tcPr>
          <w:p>
            <w:pPr>
              <w:spacing w:after="0" w:before="0"/>
            </w:pPr>
            <w:r/>
            <w:r>
              <w:rPr>
                <w:b w:val="0"/>
                <w:i w:val="0"/>
                <w:color w:val="1A1A1A"/>
                <w:sz w:val="18"/>
              </w:rPr>
              <w:t>Bühne aus Lärchenholz, 140 Feste</w:t>
            </w:r>
          </w:p>
        </w:tc>
        <w:tc>
          <w:tcPr>
            <w:tcW w:type="dxa" w:w="3213"/>
          </w:tcPr>
          <w:p>
            <w:pPr>
              <w:spacing w:after="0" w:before="0"/>
            </w:pPr>
            <w:r/>
            <w:r>
              <w:rPr>
                <w:b w:val="0"/>
                <w:i w:val="0"/>
                <w:color w:val="1A1A1A"/>
                <w:sz w:val="18"/>
              </w:rPr>
              <w:t>materiell</w:t>
            </w:r>
          </w:p>
        </w:tc>
        <w:tc>
          <w:tcPr>
            <w:tcW w:type="dxa" w:w="3213"/>
          </w:tcPr>
          <w:p>
            <w:pPr>
              <w:spacing w:after="0" w:before="0"/>
            </w:pPr>
            <w:r/>
            <w:r>
              <w:rPr>
                <w:b w:val="0"/>
                <w:i w:val="0"/>
                <w:color w:val="1A1A1A"/>
                <w:sz w:val="18"/>
              </w:rPr>
              <w:t>Rechnung, Strichliste der Feste, ersetzte Mietbühnen</w:t>
            </w:r>
          </w:p>
        </w:tc>
      </w:tr>
      <w:tr>
        <w:trPr>
          <w:cantSplit w:val="true"/>
        </w:trPr>
        <w:tc>
          <w:tcPr>
            <w:tcW w:type="dxa" w:w="3213"/>
            <w:shd w:val="clear" w:color="auto" w:fill="F3EFE6"/>
          </w:tcPr>
          <w:p>
            <w:pPr>
              <w:spacing w:after="0" w:before="0"/>
            </w:pPr>
            <w:r/>
            <w:r>
              <w:rPr>
                <w:b w:val="0"/>
                <w:i w:val="0"/>
                <w:color w:val="1A1A1A"/>
                <w:sz w:val="18"/>
              </w:rPr>
              <w:t>Leinen statt Einweg, eigene Wäsche</w:t>
            </w:r>
          </w:p>
        </w:tc>
        <w:tc>
          <w:tcPr>
            <w:tcW w:type="dxa" w:w="3213"/>
            <w:shd w:val="clear" w:color="auto" w:fill="F3EFE6"/>
          </w:tcPr>
          <w:p>
            <w:pPr>
              <w:spacing w:after="0" w:before="0"/>
            </w:pPr>
            <w:r/>
            <w:r>
              <w:rPr>
                <w:b w:val="0"/>
                <w:i w:val="0"/>
                <w:color w:val="1A1A1A"/>
                <w:sz w:val="18"/>
              </w:rPr>
              <w:t>materiell</w:t>
            </w:r>
          </w:p>
        </w:tc>
        <w:tc>
          <w:tcPr>
            <w:tcW w:type="dxa" w:w="3213"/>
            <w:shd w:val="clear" w:color="auto" w:fill="F3EFE6"/>
          </w:tcPr>
          <w:p>
            <w:pPr>
              <w:spacing w:after="0" w:before="0"/>
            </w:pPr>
            <w:r/>
            <w:r>
              <w:rPr>
                <w:b w:val="0"/>
                <w:i w:val="0"/>
                <w:color w:val="1A1A1A"/>
                <w:sz w:val="18"/>
              </w:rPr>
              <w:t>Bestandsliste, Waschprotokoll</w:t>
            </w:r>
          </w:p>
        </w:tc>
      </w:tr>
      <w:tr>
        <w:trPr>
          <w:cantSplit w:val="true"/>
        </w:trPr>
        <w:tc>
          <w:tcPr>
            <w:tcW w:type="dxa" w:w="3213"/>
          </w:tcPr>
          <w:p>
            <w:pPr>
              <w:spacing w:after="0" w:before="0"/>
            </w:pPr>
            <w:r/>
            <w:r>
              <w:rPr>
                <w:b w:val="0"/>
                <w:i w:val="0"/>
                <w:color w:val="1A1A1A"/>
                <w:sz w:val="18"/>
              </w:rPr>
              <w:t>Lieferanten aus dem Umkreis</w:t>
            </w:r>
          </w:p>
        </w:tc>
        <w:tc>
          <w:tcPr>
            <w:tcW w:type="dxa" w:w="3213"/>
          </w:tcPr>
          <w:p>
            <w:pPr>
              <w:spacing w:after="0" w:before="0"/>
            </w:pPr>
            <w:r/>
            <w:r>
              <w:rPr>
                <w:b w:val="0"/>
                <w:i w:val="0"/>
                <w:color w:val="1A1A1A"/>
                <w:sz w:val="18"/>
              </w:rPr>
              <w:t>materiell und wirtschaftlich</w:t>
            </w:r>
          </w:p>
        </w:tc>
        <w:tc>
          <w:tcPr>
            <w:tcW w:type="dxa" w:w="3213"/>
          </w:tcPr>
          <w:p>
            <w:pPr>
              <w:spacing w:after="0" w:before="0"/>
            </w:pPr>
            <w:r/>
            <w:r>
              <w:rPr>
                <w:b w:val="0"/>
                <w:i w:val="0"/>
                <w:color w:val="1A1A1A"/>
                <w:sz w:val="18"/>
              </w:rPr>
              <w:t>Lieferantenliste mit Ort und Einkaufsvolumen</w:t>
            </w:r>
          </w:p>
        </w:tc>
      </w:tr>
      <w:tr>
        <w:trPr>
          <w:cantSplit w:val="true"/>
        </w:trPr>
        <w:tc>
          <w:tcPr>
            <w:tcW w:type="dxa" w:w="3213"/>
            <w:shd w:val="clear" w:color="auto" w:fill="F3EFE6"/>
          </w:tcPr>
          <w:p>
            <w:pPr>
              <w:spacing w:after="0" w:before="0"/>
            </w:pPr>
            <w:r/>
            <w:r>
              <w:rPr>
                <w:b w:val="0"/>
                <w:i w:val="0"/>
                <w:color w:val="1A1A1A"/>
                <w:sz w:val="18"/>
              </w:rPr>
              <w:t>Neun bestandene Lehrabschlussprüfungen</w:t>
            </w:r>
          </w:p>
        </w:tc>
        <w:tc>
          <w:tcPr>
            <w:tcW w:type="dxa" w:w="3213"/>
            <w:shd w:val="clear" w:color="auto" w:fill="F3EFE6"/>
          </w:tcPr>
          <w:p>
            <w:pPr>
              <w:spacing w:after="0" w:before="0"/>
            </w:pPr>
            <w:r/>
            <w:r>
              <w:rPr>
                <w:b w:val="0"/>
                <w:i w:val="0"/>
                <w:color w:val="1A1A1A"/>
                <w:sz w:val="18"/>
              </w:rPr>
              <w:t>immateriell (Fähigkeiten)</w:t>
            </w:r>
          </w:p>
        </w:tc>
        <w:tc>
          <w:tcPr>
            <w:tcW w:type="dxa" w:w="3213"/>
            <w:shd w:val="clear" w:color="auto" w:fill="F3EFE6"/>
          </w:tcPr>
          <w:p>
            <w:pPr>
              <w:spacing w:after="0" w:before="0"/>
            </w:pPr>
            <w:r/>
            <w:r>
              <w:rPr>
                <w:b w:val="0"/>
                <w:i w:val="0"/>
                <w:color w:val="1A1A1A"/>
                <w:sz w:val="18"/>
              </w:rPr>
              <w:t>Liste mit Eintrittsjahr, Prüfung, Verbleib</w:t>
            </w:r>
          </w:p>
        </w:tc>
      </w:tr>
      <w:tr>
        <w:trPr>
          <w:cantSplit w:val="true"/>
        </w:trPr>
        <w:tc>
          <w:tcPr>
            <w:tcW w:type="dxa" w:w="3213"/>
          </w:tcPr>
          <w:p>
            <w:pPr>
              <w:spacing w:after="0" w:before="0"/>
            </w:pPr>
            <w:r/>
            <w:r>
              <w:rPr>
                <w:b w:val="0"/>
                <w:i w:val="0"/>
                <w:color w:val="1A1A1A"/>
                <w:sz w:val="18"/>
              </w:rPr>
              <w:t>Anrainer am Sommerfest</w:t>
            </w:r>
          </w:p>
        </w:tc>
        <w:tc>
          <w:tcPr>
            <w:tcW w:type="dxa" w:w="3213"/>
          </w:tcPr>
          <w:p>
            <w:pPr>
              <w:spacing w:after="0" w:before="0"/>
            </w:pPr>
            <w:r/>
            <w:r>
              <w:rPr>
                <w:b w:val="0"/>
                <w:i w:val="0"/>
                <w:color w:val="1A1A1A"/>
                <w:sz w:val="18"/>
              </w:rPr>
              <w:t>immateriell (Beziehungen)</w:t>
            </w:r>
          </w:p>
        </w:tc>
        <w:tc>
          <w:tcPr>
            <w:tcW w:type="dxa" w:w="3213"/>
          </w:tcPr>
          <w:p>
            <w:pPr>
              <w:spacing w:after="0" w:before="0"/>
            </w:pPr>
            <w:r/>
            <w:r>
              <w:rPr>
                <w:b w:val="0"/>
                <w:i w:val="0"/>
                <w:color w:val="1A1A1A"/>
                <w:sz w:val="18"/>
              </w:rPr>
              <w:t>Gesprächsprotokolle, Beschwerden über die Jahre</w:t>
            </w:r>
          </w:p>
        </w:tc>
      </w:tr>
      <w:tr>
        <w:trPr>
          <w:cantSplit w:val="true"/>
        </w:trPr>
        <w:tc>
          <w:tcPr>
            <w:tcW w:type="dxa" w:w="3213"/>
            <w:shd w:val="clear" w:color="auto" w:fill="F3EFE6"/>
          </w:tcPr>
          <w:p>
            <w:pPr>
              <w:spacing w:after="0" w:before="0"/>
            </w:pPr>
            <w:r/>
            <w:r>
              <w:rPr>
                <w:b w:val="0"/>
                <w:i w:val="0"/>
                <w:color w:val="1A1A1A"/>
                <w:sz w:val="18"/>
              </w:rPr>
              <w:t>Paare, die zur Taufe wiederkommen</w:t>
            </w:r>
          </w:p>
        </w:tc>
        <w:tc>
          <w:tcPr>
            <w:tcW w:type="dxa" w:w="3213"/>
            <w:shd w:val="clear" w:color="auto" w:fill="F3EFE6"/>
          </w:tcPr>
          <w:p>
            <w:pPr>
              <w:spacing w:after="0" w:before="0"/>
            </w:pPr>
            <w:r/>
            <w:r>
              <w:rPr>
                <w:b w:val="0"/>
                <w:i w:val="0"/>
                <w:color w:val="1A1A1A"/>
                <w:sz w:val="18"/>
              </w:rPr>
              <w:t>immateriell (Bindung)</w:t>
            </w:r>
          </w:p>
        </w:tc>
        <w:tc>
          <w:tcPr>
            <w:tcW w:type="dxa" w:w="3213"/>
            <w:shd w:val="clear" w:color="auto" w:fill="F3EFE6"/>
          </w:tcPr>
          <w:p>
            <w:pPr>
              <w:spacing w:after="0" w:before="0"/>
            </w:pPr>
            <w:r/>
            <w:r>
              <w:rPr>
                <w:b w:val="0"/>
                <w:i w:val="0"/>
                <w:color w:val="1A1A1A"/>
                <w:sz w:val="18"/>
              </w:rPr>
              <w:t>Buchungen mit Vermerk</w:t>
            </w:r>
          </w:p>
        </w:tc>
      </w:tr>
    </w:tbl>
    <w:p>
      <w:pPr>
        <w:spacing w:after="40"/>
      </w:pPr>
    </w:p>
    <w:p>
      <w:pPr>
        <w:pStyle w:val="Heading2"/>
      </w:pPr>
      <w:r>
        <w:t>Praktische Anwendung: die Marke in sieben Schritten an das Vermächtnis binden</w:t>
      </w:r>
    </w:p>
    <w:p>
      <w:pPr>
        <w:tabs>
          <w:tab w:pos="340" w:val="left"/>
        </w:tabs>
        <w:ind w:left="340" w:hanging="340"/>
      </w:pPr>
      <w:r>
        <w:rPr>
          <w:b/>
          <w:color w:val="8C5A2B"/>
        </w:rPr>
        <w:t>1.</w:t>
        <w:tab/>
      </w:r>
      <w:r>
        <w:rPr>
          <w:b/>
        </w:rPr>
        <w:t>Aufschreiben, was bleibt.</w:t>
      </w:r>
      <w:r>
        <w:t xml:space="preserve"> Die Eigentümerschaft lässt eine Liste anlegen, materiell und immateriell getrennt, jede Zeile mit Zahl und Zeitraum.</w:t>
      </w:r>
    </w:p>
    <w:p>
      <w:pPr>
        <w:tabs>
          <w:tab w:pos="340" w:val="left"/>
        </w:tabs>
        <w:ind w:left="340" w:hanging="340"/>
      </w:pPr>
      <w:r>
        <w:rPr>
          <w:b/>
          <w:color w:val="8C5A2B"/>
        </w:rPr>
        <w:t>2.</w:t>
        <w:tab/>
      </w:r>
      <w:r>
        <w:rPr>
          <w:b/>
        </w:rPr>
        <w:t>Zu jeder Zeile einen Beleg ablegen.</w:t>
      </w:r>
      <w:r>
        <w:t xml:space="preserve"> Rechnung, Strichliste, Prüfungszeugnis, Gesprächsprotokoll. Was keinen Beleg hat, wird als Erzählung gekennzeichnet.</w:t>
      </w:r>
    </w:p>
    <w:p>
      <w:pPr>
        <w:tabs>
          <w:tab w:pos="340" w:val="left"/>
        </w:tabs>
        <w:ind w:left="340" w:hanging="340"/>
      </w:pPr>
      <w:r>
        <w:rPr>
          <w:b/>
          <w:color w:val="8C5A2B"/>
        </w:rPr>
        <w:t>3.</w:t>
        <w:tab/>
      </w:r>
      <w:r>
        <w:rPr>
          <w:b/>
        </w:rPr>
        <w:t>Die Werbetexte gegen die Liste prüfen.</w:t>
      </w:r>
      <w:r>
        <w:t xml:space="preserve"> Jeder Satz der Agentur bekommt eine Zeile der Liste oder fällt weg.</w:t>
      </w:r>
    </w:p>
    <w:p>
      <w:pPr>
        <w:tabs>
          <w:tab w:pos="340" w:val="left"/>
        </w:tabs>
        <w:ind w:left="340" w:hanging="340"/>
      </w:pPr>
      <w:r>
        <w:rPr>
          <w:b/>
          <w:color w:val="8C5A2B"/>
        </w:rPr>
        <w:t>4.</w:t>
        <w:tab/>
      </w:r>
      <w:r>
        <w:rPr>
          <w:b/>
        </w:rPr>
        <w:t>Allgemeine Wörter streichen.</w:t>
      </w:r>
      <w:r>
        <w:t xml:space="preserve"> «Grün», «nachhaltig», «klimaneutral» werden durch bestimmte Sätze mit Zahlen ersetzt.</w:t>
      </w:r>
    </w:p>
    <w:p>
      <w:pPr>
        <w:tabs>
          <w:tab w:pos="340" w:val="left"/>
        </w:tabs>
        <w:ind w:left="340" w:hanging="340"/>
      </w:pPr>
      <w:r>
        <w:rPr>
          <w:b/>
          <w:color w:val="8C5A2B"/>
        </w:rPr>
        <w:t>5.</w:t>
        <w:tab/>
      </w:r>
      <w:r>
        <w:rPr>
          <w:b/>
        </w:rPr>
        <w:t>Die Vision in die Politik schreiben.</w:t>
      </w:r>
      <w:r>
        <w:t xml:space="preserve"> Drei bis zehn Jahre, mit wenigen messbaren Zielen; datiert und von der Eigentümerin unterzeichnet.</w:t>
      </w:r>
    </w:p>
    <w:p>
      <w:pPr>
        <w:tabs>
          <w:tab w:pos="340" w:val="left"/>
        </w:tabs>
        <w:ind w:left="340" w:hanging="340"/>
      </w:pPr>
      <w:r>
        <w:rPr>
          <w:b/>
          <w:color w:val="8C5A2B"/>
        </w:rPr>
        <w:t>6.</w:t>
        <w:tab/>
      </w:r>
      <w:r>
        <w:rPr>
          <w:b/>
        </w:rPr>
        <w:t>Zukunft und Gegenwart trennen.</w:t>
      </w:r>
      <w:r>
        <w:t xml:space="preserve"> Was das Haus erreichen will, bleibt intern, bis ein Plan mit Terminen vorliegt und eine unabhängige Prüfung geregelt ist.</w:t>
      </w:r>
    </w:p>
    <w:p>
      <w:pPr>
        <w:tabs>
          <w:tab w:pos="340" w:val="left"/>
        </w:tabs>
        <w:ind w:left="340" w:hanging="340"/>
      </w:pPr>
      <w:r>
        <w:rPr>
          <w:b/>
          <w:color w:val="8C5A2B"/>
        </w:rPr>
        <w:t>7.</w:t>
        <w:tab/>
      </w:r>
      <w:r>
        <w:rPr>
          <w:b/>
        </w:rPr>
        <w:t>Jährlich nachführen.</w:t>
      </w:r>
      <w:r>
        <w:t xml:space="preserve"> Die Liste wird einmal im Jahr ergänzt und berichtet (1.10); die Marke folgt der Liste, nicht umgekehrt.</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Aufschreiben, was bleibt</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Zu jeder Zeile einen Beleg ablegen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Die Werbetexte gegen die Liste prüfen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Allgemeine Wörter streichen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Die Vision in die Politik schreiben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Zukunft und Gegenwart trennen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Jährlich nachführen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Gibt es eine Liste dessen, was nach unseren Festen bleibt?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Hat jede Zeile dieser Liste einen Beleg?</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Unterscheiden wir materielles und immaterielles Vermächtnis?</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Ist jeder Werbetext gegen diese Liste geprüft?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Verwenden wir Wörter wie «grün» oder «klimaneutral» ohne Beleg?</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Enthält unsere Politik eine Vision über drei bis zehn Jahre?</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Ist die Politik datiert und von der Eigentümerschaft unterzeichnet?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Versprechen wir öffentlich etwas für die Zukunft, für das kein Plan vorliegt?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Die Agentur vor dem Haus schreiben lassen.</w:t>
      </w:r>
      <w:r>
        <w:t xml:space="preserve"> Dann muss das Haus nachher eine Behauptung einholen.</w:t>
      </w:r>
    </w:p>
    <w:p>
      <w:pPr>
        <w:tabs>
          <w:tab w:pos="340" w:val="left"/>
        </w:tabs>
        <w:ind w:left="340" w:hanging="340"/>
      </w:pPr>
      <w:r>
        <w:rPr>
          <w:color w:val="8C5A2B"/>
        </w:rPr>
        <w:t>–</w:t>
        <w:tab/>
      </w:r>
      <w:r>
        <w:rPr>
          <w:b/>
        </w:rPr>
        <w:t>Kompensation als Klimaneutralität verkaufen.</w:t>
      </w:r>
      <w:r>
        <w:t xml:space="preserve"> Seit dem 27. September 2026 ist das in Deutschland und Österreich gegenüber Verbrauchern unzulässig.</w:t>
      </w:r>
    </w:p>
    <w:p>
      <w:pPr>
        <w:tabs>
          <w:tab w:pos="340" w:val="left"/>
        </w:tabs>
        <w:ind w:left="340" w:hanging="340"/>
      </w:pPr>
      <w:r>
        <w:rPr>
          <w:color w:val="8C5A2B"/>
        </w:rPr>
        <w:t>–</w:t>
        <w:tab/>
      </w:r>
      <w:r>
        <w:rPr>
          <w:b/>
        </w:rPr>
        <w:t>Erinnerung für Vermächtnis halten.</w:t>
      </w:r>
      <w:r>
        <w:t xml:space="preserve"> Was bleibt, gehört dem Ort, nicht nur dem Paar.</w:t>
      </w:r>
    </w:p>
    <w:p>
      <w:pPr>
        <w:tabs>
          <w:tab w:pos="340" w:val="left"/>
        </w:tabs>
        <w:ind w:left="340" w:hanging="340"/>
      </w:pPr>
      <w:r>
        <w:rPr>
          <w:color w:val="8C5A2B"/>
        </w:rPr>
        <w:t>–</w:t>
        <w:tab/>
      </w:r>
      <w:r>
        <w:rPr>
          <w:b/>
        </w:rPr>
        <w:t>Nur die Bühne zählen.</w:t>
      </w:r>
      <w:r>
        <w:t xml:space="preserve"> Lehrlinge und Nachbarn sind für ein Familienhaus das schwerere Vermächtnis.</w:t>
      </w:r>
    </w:p>
    <w:p>
      <w:pPr>
        <w:tabs>
          <w:tab w:pos="340" w:val="left"/>
        </w:tabs>
        <w:ind w:left="340" w:hanging="340"/>
      </w:pPr>
      <w:r>
        <w:rPr>
          <w:color w:val="8C5A2B"/>
        </w:rPr>
        <w:t>–</w:t>
        <w:tab/>
      </w:r>
      <w:r>
        <w:rPr>
          <w:b/>
        </w:rPr>
        <w:t>Die Vision auf das Plakat setzen.</w:t>
      </w:r>
      <w:r>
        <w:t xml:space="preserve"> Aus einem Ziel wird eine Aussage über künftige Umweltleistung mit Pflichten.</w:t>
      </w:r>
    </w:p>
    <w:p>
      <w:pPr>
        <w:tabs>
          <w:tab w:pos="340" w:val="left"/>
        </w:tabs>
        <w:ind w:left="340" w:hanging="340"/>
      </w:pPr>
      <w:r>
        <w:rPr>
          <w:color w:val="8C5A2B"/>
        </w:rPr>
        <w:t>–</w:t>
        <w:tab/>
      </w:r>
      <w:r>
        <w:rPr>
          <w:b/>
        </w:rPr>
        <w:t>Die Positionierung dem Nachfolger allein überlassen.</w:t>
      </w:r>
      <w:r>
        <w:t xml:space="preserve"> Was das Haus öffentlich verspricht, beschließt die Eigentümerschaft.</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Umsatz Hochzeiten, 38 × € 18.000</w:t>
            </w:r>
          </w:p>
        </w:tc>
        <w:tc>
          <w:tcPr>
            <w:tcW w:type="dxa" w:w="1474"/>
          </w:tcPr>
          <w:p>
            <w:pPr>
              <w:spacing w:after="0" w:before="0"/>
            </w:pPr>
            <w:r/>
            <w:r>
              <w:rPr>
                <w:b w:val="0"/>
                <w:i w:val="0"/>
                <w:color w:val="1A1A1A"/>
                <w:sz w:val="18"/>
              </w:rPr>
              <w:t>€ 684.000</w:t>
            </w:r>
          </w:p>
        </w:tc>
        <w:tc>
          <w:tcPr>
            <w:tcW w:type="dxa" w:w="3175"/>
          </w:tcPr>
          <w:p>
            <w:pPr>
              <w:spacing w:after="0" w:before="0"/>
            </w:pPr>
            <w:r/>
            <w:r>
              <w:rPr>
                <w:b w:val="0"/>
                <w:i w:val="0"/>
                <w:color w:val="1A1A1A"/>
                <w:sz w:val="18"/>
              </w:rPr>
              <w:t>jährlich, Fest und Zimmer</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Bühne aus Lärchenholz</w:t>
            </w:r>
          </w:p>
        </w:tc>
        <w:tc>
          <w:tcPr>
            <w:tcW w:type="dxa" w:w="1474"/>
            <w:shd w:val="clear" w:color="auto" w:fill="F3EFE6"/>
          </w:tcPr>
          <w:p>
            <w:pPr>
              <w:spacing w:after="0" w:before="0"/>
            </w:pPr>
            <w:r/>
            <w:r>
              <w:rPr>
                <w:b w:val="0"/>
                <w:i w:val="0"/>
                <w:color w:val="1A1A1A"/>
                <w:sz w:val="18"/>
              </w:rPr>
              <w:t>€ 24.000</w:t>
            </w:r>
          </w:p>
        </w:tc>
        <w:tc>
          <w:tcPr>
            <w:tcW w:type="dxa" w:w="3175"/>
            <w:shd w:val="clear" w:color="auto" w:fill="F3EFE6"/>
          </w:tcPr>
          <w:p>
            <w:pPr>
              <w:spacing w:after="0" w:before="0"/>
            </w:pPr>
            <w:r/>
            <w:r>
              <w:rPr>
                <w:b w:val="0"/>
                <w:i w:val="0"/>
                <w:color w:val="1A1A1A"/>
                <w:sz w:val="18"/>
              </w:rPr>
              <w:t>einmalig, vor drei Jahren</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Ersetzte Mietbühnen, 140 × € 450</w:t>
            </w:r>
          </w:p>
        </w:tc>
        <w:tc>
          <w:tcPr>
            <w:tcW w:type="dxa" w:w="1474"/>
          </w:tcPr>
          <w:p>
            <w:pPr>
              <w:spacing w:after="0" w:before="0"/>
            </w:pPr>
            <w:r/>
            <w:r>
              <w:rPr>
                <w:b w:val="0"/>
                <w:i w:val="0"/>
                <w:color w:val="1A1A1A"/>
                <w:sz w:val="18"/>
              </w:rPr>
              <w:t>€ 63.000</w:t>
            </w:r>
          </w:p>
        </w:tc>
        <w:tc>
          <w:tcPr>
            <w:tcW w:type="dxa" w:w="3175"/>
          </w:tcPr>
          <w:p>
            <w:pPr>
              <w:spacing w:after="0" w:before="0"/>
            </w:pPr>
            <w:r/>
            <w:r>
              <w:rPr>
                <w:b w:val="0"/>
                <w:i w:val="0"/>
                <w:color w:val="1A1A1A"/>
                <w:sz w:val="18"/>
              </w:rPr>
              <w:t>in drei Jahren</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Kompensation nach Angebot, 12 € × 120 Gäste × 38</w:t>
            </w:r>
          </w:p>
        </w:tc>
        <w:tc>
          <w:tcPr>
            <w:tcW w:type="dxa" w:w="1474"/>
            <w:shd w:val="clear" w:color="auto" w:fill="F3EFE6"/>
          </w:tcPr>
          <w:p>
            <w:pPr>
              <w:spacing w:after="0" w:before="0"/>
            </w:pPr>
            <w:r/>
            <w:r>
              <w:rPr>
                <w:b w:val="0"/>
                <w:i w:val="0"/>
                <w:color w:val="1A1A1A"/>
                <w:sz w:val="18"/>
              </w:rPr>
              <w:t>€ 54.720</w:t>
            </w:r>
          </w:p>
        </w:tc>
        <w:tc>
          <w:tcPr>
            <w:tcW w:type="dxa" w:w="3175"/>
            <w:shd w:val="clear" w:color="auto" w:fill="F3EFE6"/>
          </w:tcPr>
          <w:p>
            <w:pPr>
              <w:spacing w:after="0" w:before="0"/>
            </w:pPr>
            <w:r/>
            <w:r>
              <w:rPr>
                <w:b w:val="0"/>
                <w:i w:val="0"/>
                <w:color w:val="1A1A1A"/>
                <w:sz w:val="18"/>
              </w:rPr>
              <w:t>jährlich; ändert das Fest nicht</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Kampagne der Agentur</w:t>
            </w:r>
          </w:p>
        </w:tc>
        <w:tc>
          <w:tcPr>
            <w:tcW w:type="dxa" w:w="1474"/>
          </w:tcPr>
          <w:p>
            <w:pPr>
              <w:spacing w:after="0" w:before="0"/>
            </w:pPr>
            <w:r/>
            <w:r>
              <w:rPr>
                <w:b w:val="0"/>
                <w:i w:val="0"/>
                <w:color w:val="1A1A1A"/>
                <w:sz w:val="18"/>
              </w:rPr>
              <w:t>€ 28.000</w:t>
            </w:r>
          </w:p>
        </w:tc>
        <w:tc>
          <w:tcPr>
            <w:tcW w:type="dxa" w:w="3175"/>
          </w:tcPr>
          <w:p>
            <w:pPr>
              <w:spacing w:after="0" w:before="0"/>
            </w:pPr>
            <w:r/>
            <w:r>
              <w:rPr>
                <w:b w:val="0"/>
                <w:i w:val="0"/>
                <w:color w:val="1A1A1A"/>
                <w:sz w:val="18"/>
              </w:rPr>
              <w:t>einmalig</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Liste «Was bleibt» mit Belegen</w:t>
            </w:r>
          </w:p>
        </w:tc>
        <w:tc>
          <w:tcPr>
            <w:tcW w:type="dxa" w:w="1474"/>
            <w:shd w:val="clear" w:color="auto" w:fill="F3EFE6"/>
          </w:tcPr>
          <w:p>
            <w:pPr>
              <w:spacing w:after="0" w:before="0"/>
            </w:pPr>
            <w:r/>
            <w:r>
              <w:rPr>
                <w:b w:val="0"/>
                <w:i w:val="0"/>
                <w:color w:val="1A1A1A"/>
                <w:sz w:val="18"/>
              </w:rPr>
              <w:t>24 Stunden</w:t>
            </w:r>
          </w:p>
        </w:tc>
        <w:tc>
          <w:tcPr>
            <w:tcW w:type="dxa" w:w="3175"/>
            <w:shd w:val="clear" w:color="auto" w:fill="F3EFE6"/>
          </w:tcPr>
          <w:p>
            <w:pPr>
              <w:spacing w:after="0" w:before="0"/>
            </w:pPr>
            <w:r/>
            <w:r>
              <w:rPr>
                <w:b w:val="0"/>
                <w:i w:val="0"/>
                <w:color w:val="1A1A1A"/>
                <w:sz w:val="18"/>
              </w:rPr>
              <w:t>einmalig, dann 8 Stunden jährlich</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Prüfung der Werbetexte</w:t>
            </w:r>
          </w:p>
        </w:tc>
        <w:tc>
          <w:tcPr>
            <w:tcW w:type="dxa" w:w="1474"/>
          </w:tcPr>
          <w:p>
            <w:pPr>
              <w:spacing w:after="0" w:before="0"/>
            </w:pPr>
            <w:r/>
            <w:r>
              <w:rPr>
                <w:b w:val="0"/>
                <w:i w:val="0"/>
                <w:color w:val="1A1A1A"/>
                <w:sz w:val="18"/>
              </w:rPr>
              <w:t>6 Stunden</w:t>
            </w:r>
          </w:p>
        </w:tc>
        <w:tc>
          <w:tcPr>
            <w:tcW w:type="dxa" w:w="3175"/>
          </w:tcPr>
          <w:p>
            <w:pPr>
              <w:spacing w:after="0" w:before="0"/>
            </w:pPr>
            <w:r/>
            <w:r>
              <w:rPr>
                <w:b w:val="0"/>
                <w:i w:val="0"/>
                <w:color w:val="1A1A1A"/>
                <w:sz w:val="18"/>
              </w:rPr>
              <w:t>je Kampagne</w:t>
            </w:r>
          </w:p>
        </w:tc>
        <w:tc>
          <w:tcPr>
            <w:tcW w:type="dxa" w:w="1814"/>
          </w:tcPr>
          <w:p>
            <w:pPr>
              <w:spacing w:after="0" w:before="0"/>
            </w:pPr>
            <w:r/>
            <w:r>
              <w:rPr>
                <w:b w:val="0"/>
                <w:i w:val="0"/>
                <w:color w:val="1A1A1A"/>
                <w:sz w:val="18"/>
              </w:rPr>
            </w:r>
          </w:p>
        </w:tc>
      </w:tr>
    </w:tbl>
    <w:p>
      <w:pPr>
        <w:spacing w:after="40"/>
      </w:pPr>
    </w:p>
    <w:p>
      <w:r>
        <w:rPr>
          <w:b w:val="0"/>
          <w:i w:val="0"/>
        </w:rPr>
        <w:t>Die Rechnung zeigt zweierlei. Die Bühne hat in drei Jahren mehr als das Doppelte ihres Preises an Mietbühnen ersetzt; das ist ein Vermächtnis, das sich auch in Euro ausdrücken lässt. Die Kompensation hätte im Jahr fast doppelt so viel gekostet wie die Kampagne und hätte am Fest selbst nichts verändert.</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 (Norm)</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Anhang oder Methode</w:t>
            </w:r>
          </w:p>
        </w:tc>
      </w:tr>
      <w:tr>
        <w:trPr>
          <w:cantSplit w:val="true"/>
        </w:trPr>
        <w:tc>
          <w:tcPr>
            <w:tcW w:type="dxa" w:w="3288"/>
          </w:tcPr>
          <w:p>
            <w:pPr>
              <w:spacing w:after="0" w:before="0"/>
            </w:pPr>
            <w:r/>
            <w:r>
              <w:rPr>
                <w:b w:val="0"/>
                <w:i w:val="0"/>
                <w:color w:val="1A1A1A"/>
                <w:sz w:val="18"/>
              </w:rPr>
              <w:t>Politik, dokumentiert, datiert, unterzeichnet (5.2)</w:t>
            </w:r>
          </w:p>
        </w:tc>
        <w:tc>
          <w:tcPr>
            <w:tcW w:type="dxa" w:w="3175"/>
          </w:tcPr>
          <w:p>
            <w:pPr>
              <w:spacing w:after="0" w:before="0"/>
            </w:pPr>
            <w:r/>
            <w:r>
              <w:rPr>
                <w:b w:val="0"/>
                <w:i w:val="0"/>
                <w:color w:val="1A1A1A"/>
                <w:sz w:val="18"/>
              </w:rPr>
              <w:t>Politik mit Unterschrift der Eigentümerin</w:t>
            </w:r>
          </w:p>
        </w:tc>
        <w:tc>
          <w:tcPr>
            <w:tcW w:type="dxa" w:w="3175"/>
          </w:tcPr>
          <w:p>
            <w:pPr>
              <w:spacing w:after="0" w:before="0"/>
            </w:pPr>
            <w:r/>
            <w:r>
              <w:rPr>
                <w:b w:val="0"/>
                <w:i w:val="0"/>
                <w:color w:val="1A1A1A"/>
                <w:sz w:val="18"/>
              </w:rPr>
              <w:t>Wortlaut und Länge</w:t>
            </w:r>
          </w:p>
        </w:tc>
      </w:tr>
      <w:tr>
        <w:trPr>
          <w:cantSplit w:val="true"/>
        </w:trPr>
        <w:tc>
          <w:tcPr>
            <w:tcW w:type="dxa" w:w="3288"/>
            <w:shd w:val="clear" w:color="auto" w:fill="F3EFE6"/>
          </w:tcPr>
          <w:p>
            <w:pPr>
              <w:spacing w:after="0" w:before="0"/>
            </w:pPr>
            <w:r/>
            <w:r>
              <w:rPr>
                <w:b w:val="0"/>
                <w:i w:val="0"/>
                <w:color w:val="1A1A1A"/>
                <w:sz w:val="18"/>
              </w:rPr>
              <w:t>Vision über drei bis zehn Jahre, wo zutreffend (5.2)</w:t>
            </w:r>
          </w:p>
        </w:tc>
        <w:tc>
          <w:tcPr>
            <w:tcW w:type="dxa" w:w="3175"/>
            <w:shd w:val="clear" w:color="auto" w:fill="F3EFE6"/>
          </w:tcPr>
          <w:p>
            <w:pPr>
              <w:spacing w:after="0" w:before="0"/>
            </w:pPr>
            <w:r/>
            <w:r>
              <w:rPr>
                <w:b w:val="0"/>
                <w:i w:val="0"/>
                <w:color w:val="1A1A1A"/>
                <w:sz w:val="18"/>
              </w:rPr>
              <w:t>Absatz zur Vision des Hauses bis zur Übergabe und danach</w:t>
            </w:r>
          </w:p>
        </w:tc>
        <w:tc>
          <w:tcPr>
            <w:tcW w:type="dxa" w:w="3175"/>
            <w:shd w:val="clear" w:color="auto" w:fill="F3EFE6"/>
          </w:tcPr>
          <w:p>
            <w:pPr>
              <w:spacing w:after="0" w:before="0"/>
            </w:pPr>
            <w:r/>
            <w:r>
              <w:rPr>
                <w:b w:val="0"/>
                <w:i w:val="0"/>
                <w:color w:val="1A1A1A"/>
                <w:sz w:val="18"/>
              </w:rPr>
              <w:t>Wahl des Zeitraums</w:t>
            </w:r>
          </w:p>
        </w:tc>
      </w:tr>
      <w:tr>
        <w:trPr>
          <w:cantSplit w:val="true"/>
        </w:trPr>
        <w:tc>
          <w:tcPr>
            <w:tcW w:type="dxa" w:w="3288"/>
          </w:tcPr>
          <w:p>
            <w:pPr>
              <w:spacing w:after="0" w:before="0"/>
            </w:pPr>
            <w:r/>
            <w:r>
              <w:rPr>
                <w:b w:val="0"/>
                <w:i w:val="0"/>
                <w:color w:val="1A1A1A"/>
                <w:sz w:val="18"/>
              </w:rPr>
              <w:t>Verpflichtung, über Ergebnisse, Lehren und wo angemessen Vermächtnis zu berichten (5.2 e)</w:t>
            </w:r>
          </w:p>
        </w:tc>
        <w:tc>
          <w:tcPr>
            <w:tcW w:type="dxa" w:w="3175"/>
          </w:tcPr>
          <w:p>
            <w:pPr>
              <w:spacing w:after="0" w:before="0"/>
            </w:pPr>
            <w:r/>
            <w:r>
              <w:rPr>
                <w:b w:val="0"/>
                <w:i w:val="0"/>
                <w:color w:val="1A1A1A"/>
                <w:sz w:val="18"/>
              </w:rPr>
              <w:t>jährliche Liste «Was bleibt» mit Belegen</w:t>
            </w:r>
          </w:p>
        </w:tc>
        <w:tc>
          <w:tcPr>
            <w:tcW w:type="dxa" w:w="3175"/>
          </w:tcPr>
          <w:p>
            <w:pPr>
              <w:spacing w:after="0" w:before="0"/>
            </w:pPr>
            <w:r/>
            <w:r>
              <w:rPr>
                <w:b w:val="0"/>
                <w:i w:val="0"/>
                <w:color w:val="1A1A1A"/>
                <w:sz w:val="18"/>
              </w:rPr>
              <w:t>Vermächtnisthemen nach A.8</w:t>
            </w:r>
          </w:p>
        </w:tc>
      </w:tr>
      <w:tr>
        <w:trPr>
          <w:cantSplit w:val="true"/>
        </w:trPr>
        <w:tc>
          <w:tcPr>
            <w:tcW w:type="dxa" w:w="3288"/>
            <w:shd w:val="clear" w:color="auto" w:fill="F3EFE6"/>
          </w:tcPr>
          <w:p>
            <w:pPr>
              <w:spacing w:after="0" w:before="0"/>
            </w:pPr>
            <w:r/>
            <w:r>
              <w:rPr>
                <w:b w:val="0"/>
                <w:i w:val="0"/>
                <w:color w:val="1A1A1A"/>
                <w:sz w:val="18"/>
              </w:rPr>
              <w:t>Ziele messbar, wo praktikabel, überwacht (6.2)</w:t>
            </w:r>
          </w:p>
        </w:tc>
        <w:tc>
          <w:tcPr>
            <w:tcW w:type="dxa" w:w="3175"/>
            <w:shd w:val="clear" w:color="auto" w:fill="F3EFE6"/>
          </w:tcPr>
          <w:p>
            <w:pPr>
              <w:spacing w:after="0" w:before="0"/>
            </w:pPr>
            <w:r/>
            <w:r>
              <w:rPr>
                <w:b w:val="0"/>
                <w:i w:val="0"/>
                <w:color w:val="1A1A1A"/>
                <w:sz w:val="18"/>
              </w:rPr>
              <w:t>Ziele zu Lehrlingen, Bühne, Lieferanten</w:t>
            </w:r>
          </w:p>
        </w:tc>
        <w:tc>
          <w:tcPr>
            <w:tcW w:type="dxa" w:w="3175"/>
            <w:shd w:val="clear" w:color="auto" w:fill="F3EFE6"/>
          </w:tcPr>
          <w:p>
            <w:pPr>
              <w:spacing w:after="0" w:before="0"/>
            </w:pPr>
            <w:r/>
            <w:r>
              <w:rPr>
                <w:b w:val="0"/>
                <w:i w:val="0"/>
                <w:color w:val="1A1A1A"/>
                <w:sz w:val="18"/>
              </w:rPr>
              <w:t>SMART nach A.12</w:t>
            </w:r>
          </w:p>
        </w:tc>
      </w:tr>
      <w:tr>
        <w:trPr>
          <w:cantSplit w:val="true"/>
        </w:trPr>
        <w:tc>
          <w:tcPr>
            <w:tcW w:type="dxa" w:w="3288"/>
          </w:tcPr>
          <w:p>
            <w:pPr>
              <w:spacing w:after="0" w:before="0"/>
            </w:pPr>
            <w:r/>
            <w:r>
              <w:rPr>
                <w:b w:val="0"/>
                <w:i w:val="0"/>
                <w:color w:val="1A1A1A"/>
                <w:sz w:val="18"/>
              </w:rPr>
              <w:t>Keine irreführende Kommunikation (7.4)</w:t>
            </w:r>
          </w:p>
        </w:tc>
        <w:tc>
          <w:tcPr>
            <w:tcW w:type="dxa" w:w="3175"/>
          </w:tcPr>
          <w:p>
            <w:pPr>
              <w:spacing w:after="0" w:before="0"/>
            </w:pPr>
            <w:r/>
            <w:r>
              <w:rPr>
                <w:b w:val="0"/>
                <w:i w:val="0"/>
                <w:color w:val="1A1A1A"/>
                <w:sz w:val="18"/>
              </w:rPr>
              <w:t>Freigabe jedes Werbetexts gegen die Liste</w:t>
            </w:r>
          </w:p>
        </w:tc>
        <w:tc>
          <w:tcPr>
            <w:tcW w:type="dxa" w:w="3175"/>
          </w:tcPr>
          <w:p>
            <w:pPr>
              <w:spacing w:after="0" w:before="0"/>
            </w:pPr>
            <w:r/>
            <w:r>
              <w:rPr>
                <w:b w:val="0"/>
                <w:i w:val="0"/>
                <w:color w:val="1A1A1A"/>
                <w:sz w:val="18"/>
              </w:rPr>
              <w:t>Prüfung durch eine zweite Person</w:t>
            </w:r>
          </w:p>
        </w:tc>
      </w:tr>
    </w:tbl>
    <w:p>
      <w:pPr>
        <w:spacing w:after="40"/>
      </w:pPr>
    </w:p>
    <w:p>
      <w:pPr>
        <w:pStyle w:val="Heading2"/>
      </w:pPr>
      <w:r>
        <w:t>DACH-Anker: was die Marke sagen darf</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Allgemeine Umweltaussagen («grün», «umweltfreundlich»)</w:t>
            </w:r>
          </w:p>
        </w:tc>
        <w:tc>
          <w:tcPr>
            <w:tcW w:type="dxa" w:w="2721"/>
          </w:tcPr>
          <w:p>
            <w:pPr>
              <w:spacing w:after="0" w:before="0"/>
            </w:pPr>
            <w:r/>
            <w:r>
              <w:rPr>
                <w:b w:val="0"/>
                <w:i w:val="0"/>
                <w:color w:val="1A1A1A"/>
                <w:sz w:val="17"/>
              </w:rPr>
              <w:t>gegenüber Verbrauchern nur mit anerkannter hervorragender Umweltleistung (UWG, Anhang Nr. 4a)</w:t>
            </w:r>
          </w:p>
        </w:tc>
        <w:tc>
          <w:tcPr>
            <w:tcW w:type="dxa" w:w="2721"/>
          </w:tcPr>
          <w:p>
            <w:pPr>
              <w:spacing w:after="0" w:before="0"/>
            </w:pPr>
            <w:r/>
            <w:r>
              <w:rPr>
                <w:b w:val="0"/>
                <w:i w:val="0"/>
                <w:color w:val="1A1A1A"/>
                <w:sz w:val="17"/>
              </w:rPr>
              <w:t>gegenüber Verbrauchern nur mit anerkannter hervorragender Umweltleistung (UWG-Novelle, BGBl. I Nr. 58/2026)</w:t>
            </w:r>
          </w:p>
        </w:tc>
        <w:tc>
          <w:tcPr>
            <w:tcW w:type="dxa" w:w="2721"/>
          </w:tcPr>
          <w:p>
            <w:pPr>
              <w:spacing w:after="0" w:before="0"/>
            </w:pPr>
            <w:r/>
            <w:r>
              <w:rPr>
                <w:b w:val="0"/>
                <w:i w:val="0"/>
                <w:color w:val="1A1A1A"/>
                <w:sz w:val="17"/>
              </w:rPr>
              <w:t>irreführende Angaben unlauter (Art. 3 Abs. 1 lit. b UWG)</w:t>
            </w:r>
          </w:p>
        </w:tc>
      </w:tr>
      <w:tr>
        <w:trPr>
          <w:cantSplit w:val="true"/>
        </w:trPr>
        <w:tc>
          <w:tcPr>
            <w:tcW w:type="dxa" w:w="1474"/>
            <w:shd w:val="clear" w:color="auto" w:fill="F3EFE6"/>
          </w:tcPr>
          <w:p>
            <w:pPr>
              <w:spacing w:after="0" w:before="0"/>
            </w:pPr>
            <w:r/>
            <w:r>
              <w:rPr>
                <w:b w:val="0"/>
                <w:i w:val="0"/>
                <w:color w:val="1A1A1A"/>
                <w:sz w:val="17"/>
              </w:rPr>
              <w:t>«Klimaneutral» durch Kompensation</w:t>
            </w:r>
          </w:p>
        </w:tc>
        <w:tc>
          <w:tcPr>
            <w:tcW w:type="dxa" w:w="2721"/>
            <w:shd w:val="clear" w:color="auto" w:fill="F3EFE6"/>
          </w:tcPr>
          <w:p>
            <w:pPr>
              <w:spacing w:after="0" w:before="0"/>
            </w:pPr>
            <w:r/>
            <w:r>
              <w:rPr>
                <w:b w:val="0"/>
                <w:i w:val="0"/>
                <w:color w:val="1A1A1A"/>
                <w:sz w:val="17"/>
              </w:rPr>
              <w:t>gegenüber Verbrauchern unzulässig für Produkte (UWG, Anhang Nr. 4c)</w:t>
            </w:r>
          </w:p>
        </w:tc>
        <w:tc>
          <w:tcPr>
            <w:tcW w:type="dxa" w:w="2721"/>
            <w:shd w:val="clear" w:color="auto" w:fill="F3EFE6"/>
          </w:tcPr>
          <w:p>
            <w:pPr>
              <w:spacing w:after="0" w:before="0"/>
            </w:pPr>
            <w:r/>
            <w:r>
              <w:rPr>
                <w:b w:val="0"/>
                <w:i w:val="0"/>
                <w:color w:val="1A1A1A"/>
                <w:sz w:val="17"/>
              </w:rPr>
              <w:t>gegenüber Verbrauchern unzulässig, wenn auf Kompensation beruhend</w:t>
            </w:r>
          </w:p>
        </w:tc>
        <w:tc>
          <w:tcPr>
            <w:tcW w:type="dxa" w:w="2721"/>
            <w:shd w:val="clear" w:color="auto" w:fill="F3EFE6"/>
          </w:tcPr>
          <w:p>
            <w:pPr>
              <w:spacing w:after="0" w:before="0"/>
            </w:pPr>
            <w:r/>
            <w:r>
              <w:rPr>
                <w:b w:val="0"/>
                <w:i w:val="0"/>
                <w:color w:val="1A1A1A"/>
                <w:sz w:val="17"/>
              </w:rPr>
              <w:t>Klimaangaben nur mit objektiven, überprüfbaren Grundlagen (Art. 3 Abs. 1 lit. x UWG)</w:t>
            </w:r>
          </w:p>
        </w:tc>
      </w:tr>
      <w:tr>
        <w:trPr>
          <w:cantSplit w:val="true"/>
        </w:trPr>
        <w:tc>
          <w:tcPr>
            <w:tcW w:type="dxa" w:w="1474"/>
          </w:tcPr>
          <w:p>
            <w:pPr>
              <w:spacing w:after="0" w:before="0"/>
            </w:pPr>
            <w:r/>
            <w:r>
              <w:rPr>
                <w:b w:val="0"/>
                <w:i w:val="0"/>
                <w:color w:val="1A1A1A"/>
                <w:sz w:val="17"/>
              </w:rPr>
              <w:t>Versprechen über künftige Umweltleistung</w:t>
            </w:r>
          </w:p>
        </w:tc>
        <w:tc>
          <w:tcPr>
            <w:tcW w:type="dxa" w:w="2721"/>
          </w:tcPr>
          <w:p>
            <w:pPr>
              <w:spacing w:after="0" w:before="0"/>
            </w:pPr>
            <w:r/>
            <w:r>
              <w:rPr>
                <w:b w:val="0"/>
                <w:i w:val="0"/>
                <w:color w:val="1A1A1A"/>
                <w:sz w:val="17"/>
              </w:rPr>
              <w:t>gegenüber Verbrauchern: Umsetzungsplan, externe Überprüfung (§ 5 Abs. 3 Nr. 4 UWG)</w:t>
            </w:r>
          </w:p>
        </w:tc>
        <w:tc>
          <w:tcPr>
            <w:tcW w:type="dxa" w:w="2721"/>
          </w:tcPr>
          <w:p>
            <w:pPr>
              <w:spacing w:after="0" w:before="0"/>
            </w:pPr>
            <w:r/>
            <w:r>
              <w:rPr>
                <w:b w:val="0"/>
                <w:i w:val="0"/>
                <w:color w:val="1A1A1A"/>
                <w:sz w:val="17"/>
              </w:rPr>
              <w:t>öffentliche Verpflichtung, Umsetzungsplan mit messbaren, terminierten Zielen, unabhängige Überprüfung</w:t>
            </w:r>
          </w:p>
        </w:tc>
        <w:tc>
          <w:tcPr>
            <w:tcW w:type="dxa" w:w="2721"/>
          </w:tcPr>
          <w:p>
            <w:pPr>
              <w:spacing w:after="0" w:before="0"/>
            </w:pPr>
            <w:r/>
            <w:r>
              <w:rPr>
                <w:b w:val="0"/>
                <w:i w:val="0"/>
                <w:color w:val="1A1A1A"/>
                <w:sz w:val="17"/>
              </w:rPr>
              <w:t>Art. 3 Abs. 1 lit. x UWG, soweit Klimawirkung</w:t>
            </w:r>
          </w:p>
        </w:tc>
      </w:tr>
      <w:tr>
        <w:trPr>
          <w:cantSplit w:val="true"/>
        </w:trPr>
        <w:tc>
          <w:tcPr>
            <w:tcW w:type="dxa" w:w="1474"/>
            <w:shd w:val="clear" w:color="auto" w:fill="F3EFE6"/>
          </w:tcPr>
          <w:p>
            <w:pPr>
              <w:spacing w:after="0" w:before="0"/>
            </w:pPr>
            <w:r/>
            <w:r>
              <w:rPr>
                <w:b w:val="0"/>
                <w:i w:val="0"/>
                <w:color w:val="1A1A1A"/>
                <w:sz w:val="17"/>
              </w:rPr>
              <w:t>Siegel und Zeichen</w:t>
            </w:r>
          </w:p>
        </w:tc>
        <w:tc>
          <w:tcPr>
            <w:tcW w:type="dxa" w:w="2721"/>
            <w:shd w:val="clear" w:color="auto" w:fill="F3EFE6"/>
          </w:tcPr>
          <w:p>
            <w:pPr>
              <w:spacing w:after="0" w:before="0"/>
            </w:pPr>
            <w:r/>
            <w:r>
              <w:rPr>
                <w:b w:val="0"/>
                <w:i w:val="0"/>
                <w:color w:val="1A1A1A"/>
                <w:sz w:val="17"/>
              </w:rPr>
              <w:t>gegenüber Verbrauchern nur mit Zertifizierungssystem oder staatlich festgesetzt (UWG, Anhang Nr. 2a)</w:t>
            </w:r>
          </w:p>
        </w:tc>
        <w:tc>
          <w:tcPr>
            <w:tcW w:type="dxa" w:w="2721"/>
            <w:shd w:val="clear" w:color="auto" w:fill="F3EFE6"/>
          </w:tcPr>
          <w:p>
            <w:pPr>
              <w:spacing w:after="0" w:before="0"/>
            </w:pPr>
            <w:r/>
            <w:r>
              <w:rPr>
                <w:b w:val="0"/>
                <w:i w:val="0"/>
                <w:color w:val="1A1A1A"/>
                <w:sz w:val="17"/>
              </w:rPr>
              <w:t>ebenso; staatliches Umweltzeichen UZ 62 «Green Meetings und Green Events», Version 6.0 für Veranstaltungen ab 1. Januar 2027</w:t>
            </w:r>
          </w:p>
        </w:tc>
        <w:tc>
          <w:tcPr>
            <w:tcW w:type="dxa" w:w="2721"/>
            <w:shd w:val="clear" w:color="auto" w:fill="F3EFE6"/>
          </w:tcPr>
          <w:p>
            <w:pPr>
              <w:spacing w:after="0" w:before="0"/>
            </w:pPr>
            <w:r/>
            <w:r>
              <w:rPr>
                <w:b w:val="0"/>
                <w:i w:val="0"/>
                <w:color w:val="1A1A1A"/>
                <w:sz w:val="17"/>
              </w:rPr>
              <w:t>UWG und Grundsätze der Schweizerischen Lauterkeitskommission</w:t>
            </w:r>
          </w:p>
        </w:tc>
      </w:tr>
      <w:tr>
        <w:trPr>
          <w:cantSplit w:val="true"/>
        </w:trPr>
        <w:tc>
          <w:tcPr>
            <w:tcW w:type="dxa" w:w="1474"/>
          </w:tcPr>
          <w:p>
            <w:pPr>
              <w:spacing w:after="0" w:before="0"/>
            </w:pPr>
            <w:r/>
            <w:r>
              <w:rPr>
                <w:b w:val="0"/>
                <w:i w:val="0"/>
                <w:color w:val="1A1A1A"/>
                <w:sz w:val="17"/>
              </w:rPr>
              <w:t>Ausbildung als Vermächtnis</w:t>
            </w:r>
          </w:p>
        </w:tc>
        <w:tc>
          <w:tcPr>
            <w:tcW w:type="dxa" w:w="2721"/>
          </w:tcPr>
          <w:p>
            <w:pPr>
              <w:spacing w:after="0" w:before="0"/>
            </w:pPr>
            <w:r/>
            <w:r>
              <w:rPr>
                <w:b w:val="0"/>
                <w:i w:val="0"/>
                <w:color w:val="1A1A1A"/>
                <w:sz w:val="17"/>
              </w:rPr>
              <w:t>Berufsbildungsgesetz (BBiG)</w:t>
            </w:r>
          </w:p>
        </w:tc>
        <w:tc>
          <w:tcPr>
            <w:tcW w:type="dxa" w:w="2721"/>
          </w:tcPr>
          <w:p>
            <w:pPr>
              <w:spacing w:after="0" w:before="0"/>
            </w:pPr>
            <w:r/>
            <w:r>
              <w:rPr>
                <w:b w:val="0"/>
                <w:i w:val="0"/>
                <w:color w:val="1A1A1A"/>
                <w:sz w:val="17"/>
              </w:rPr>
              <w:t>Berufsausbildungsgesetz (BAG)</w:t>
            </w:r>
          </w:p>
        </w:tc>
        <w:tc>
          <w:tcPr>
            <w:tcW w:type="dxa" w:w="2721"/>
          </w:tcPr>
          <w:p>
            <w:pPr>
              <w:spacing w:after="0" w:before="0"/>
            </w:pPr>
            <w:r/>
            <w:r>
              <w:rPr>
                <w:b w:val="0"/>
                <w:i w:val="0"/>
                <w:color w:val="1A1A1A"/>
                <w:sz w:val="17"/>
              </w:rPr>
              <w:t>Berufsbildungsgesetz (BBG)</w:t>
            </w:r>
          </w:p>
        </w:tc>
      </w:tr>
    </w:tbl>
    <w:p>
      <w:pPr>
        <w:spacing w:after="40"/>
      </w:pPr>
    </w:p>
    <w:p>
      <w:r>
        <w:rPr>
          <w:b w:val="0"/>
          <w:i w:val="0"/>
          <w:color w:val="5A5A5A"/>
          <w:sz w:val="17"/>
        </w:rPr>
        <w:t>Stand der Tabelle: 22. Oktober 2026, wie im Buch. Die laufende Fassung mit Änderungen nach diesem Stichtag steht in Band8a_Rechtsanker_DACH_laufend.xlsx. Die Tabelle ersetzt keine Prüfung der geltenden Fassung und keine Rechtsberatung im Einzelfall.</w:t>
      </w:r>
    </w:p>
    <w:p>
      <w:r>
        <w:rPr>
          <w:b w:val="0"/>
          <w:i w:val="0"/>
          <w:color w:val="5A5A5A"/>
          <w:sz w:val="17"/>
        </w:rPr>
        <w:t>Quelle: Francesco Dore, Das Steuer und die Lupe, Band 8a «Das Fest und seine Spuren», Abschnitt 1.11.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1.11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8a · ISO 20121 — Das Fest und seine Spuren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1.11 — Die Marke an das Vermächtnis binden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