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1.12</w:t>
      </w:r>
    </w:p>
    <w:p>
      <w:pPr>
        <w:pStyle w:val="Heading1"/>
      </w:pPr>
      <w:r>
        <w:t>Ein Rechtskataster für Veranstaltungen aufbauen</w:t>
      </w:r>
    </w:p>
    <w:p>
      <w:pPr>
        <w:spacing w:after="0"/>
      </w:pPr>
      <w:r>
        <w:rPr>
          <w:b w:val="0"/>
          <w:i/>
          <w:color w:val="5A5A5A"/>
        </w:rPr>
        <w:t>Abschnitt 1.12 · Rechtliche und andere Anforderungen in Deutschland, Österreich und der Schweiz</w:t>
      </w:r>
    </w:p>
    <w:p>
      <w:pPr>
        <w:spacing w:after="160"/>
      </w:pPr>
      <w:r>
        <w:rPr>
          <w:b w:val="0"/>
          <w:i w:val="0"/>
          <w:color w:val="5A5A5A"/>
          <w:sz w:val="18"/>
        </w:rPr>
        <w:t>Modellfall im Buch: Leipzig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morgen eine Behörde während einer Veranstaltung in Ihrem Haus fragt, wer für die Sicherheit verantwortlich ist: Steht die Antwort auf einem Blatt, das jemand im Haus kennt? Und wer in Ihrem Haus erfährt, wenn sich diese Antwort im nächsten Jahr ändert?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Vier Schritte und drei Ebenen eines Rechtskatasters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Schritt</w:t>
            </w:r>
          </w:p>
        </w:tc>
        <w:tc>
          <w:tcPr>
            <w:tcW w:type="dxa" w:w="3213"/>
            <w:shd w:val="clear" w:color="auto" w:fill="8C5A2B"/>
          </w:tcPr>
          <w:p>
            <w:pPr>
              <w:spacing w:after="0" w:before="0"/>
            </w:pPr>
            <w:r/>
            <w:r>
              <w:rPr>
                <w:b/>
                <w:i w:val="0"/>
                <w:color w:val="FFFFFF"/>
                <w:sz w:val="18"/>
              </w:rPr>
              <w:t>Was geschieht</w:t>
            </w:r>
          </w:p>
        </w:tc>
        <w:tc>
          <w:tcPr>
            <w:tcW w:type="dxa" w:w="3213"/>
            <w:shd w:val="clear" w:color="auto" w:fill="8C5A2B"/>
          </w:tcPr>
          <w:p>
            <w:pPr>
              <w:spacing w:after="0" w:before="0"/>
            </w:pPr>
            <w:r/>
            <w:r>
              <w:rPr>
                <w:b/>
                <w:i w:val="0"/>
                <w:color w:val="FFFFFF"/>
                <w:sz w:val="18"/>
              </w:rPr>
              <w:t>Wer es tut</w:t>
            </w:r>
          </w:p>
        </w:tc>
      </w:tr>
      <w:tr>
        <w:trPr>
          <w:cantSplit w:val="true"/>
        </w:trPr>
        <w:tc>
          <w:tcPr>
            <w:tcW w:type="dxa" w:w="3213"/>
          </w:tcPr>
          <w:p>
            <w:pPr>
              <w:spacing w:after="0" w:before="0"/>
            </w:pPr>
            <w:r/>
            <w:r>
              <w:rPr>
                <w:b w:val="0"/>
                <w:i w:val="0"/>
                <w:color w:val="1A1A1A"/>
                <w:sz w:val="18"/>
              </w:rPr>
              <w:t>Finden</w:t>
            </w:r>
          </w:p>
        </w:tc>
        <w:tc>
          <w:tcPr>
            <w:tcW w:type="dxa" w:w="3213"/>
          </w:tcPr>
          <w:p>
            <w:pPr>
              <w:spacing w:after="0" w:before="0"/>
            </w:pPr>
            <w:r/>
            <w:r>
              <w:rPr>
                <w:b w:val="0"/>
                <w:i w:val="0"/>
                <w:color w:val="1A1A1A"/>
                <w:sz w:val="18"/>
              </w:rPr>
              <w:t>Anforderungen je Ebene: Gruppe, Land, Ort, Veranstaltung</w:t>
            </w:r>
          </w:p>
        </w:tc>
        <w:tc>
          <w:tcPr>
            <w:tcW w:type="dxa" w:w="3213"/>
          </w:tcPr>
          <w:p>
            <w:pPr>
              <w:spacing w:after="0" w:before="0"/>
            </w:pPr>
            <w:r/>
            <w:r>
              <w:rPr>
                <w:b w:val="0"/>
                <w:i w:val="0"/>
                <w:color w:val="1A1A1A"/>
                <w:sz w:val="18"/>
              </w:rPr>
              <w:t>Justiziarin, Eventleitung je Haus</w:t>
            </w:r>
          </w:p>
        </w:tc>
      </w:tr>
      <w:tr>
        <w:trPr>
          <w:cantSplit w:val="true"/>
        </w:trPr>
        <w:tc>
          <w:tcPr>
            <w:tcW w:type="dxa" w:w="3213"/>
            <w:shd w:val="clear" w:color="auto" w:fill="F3EFE6"/>
          </w:tcPr>
          <w:p>
            <w:pPr>
              <w:spacing w:after="0" w:before="0"/>
            </w:pPr>
            <w:r/>
            <w:r>
              <w:rPr>
                <w:b w:val="0"/>
                <w:i w:val="0"/>
                <w:color w:val="1A1A1A"/>
                <w:sz w:val="18"/>
              </w:rPr>
              <w:t>Übersetzen</w:t>
            </w:r>
          </w:p>
        </w:tc>
        <w:tc>
          <w:tcPr>
            <w:tcW w:type="dxa" w:w="3213"/>
            <w:shd w:val="clear" w:color="auto" w:fill="F3EFE6"/>
          </w:tcPr>
          <w:p>
            <w:pPr>
              <w:spacing w:after="0" w:before="0"/>
            </w:pPr>
            <w:r/>
            <w:r>
              <w:rPr>
                <w:b w:val="0"/>
                <w:i w:val="0"/>
                <w:color w:val="1A1A1A"/>
                <w:sz w:val="18"/>
              </w:rPr>
              <w:t>jede Anforderung als Pflicht mit Person und Nachweis</w:t>
            </w:r>
          </w:p>
        </w:tc>
        <w:tc>
          <w:tcPr>
            <w:tcW w:type="dxa" w:w="3213"/>
            <w:shd w:val="clear" w:color="auto" w:fill="F3EFE6"/>
          </w:tcPr>
          <w:p>
            <w:pPr>
              <w:spacing w:after="0" w:before="0"/>
            </w:pPr>
            <w:r/>
            <w:r>
              <w:rPr>
                <w:b w:val="0"/>
                <w:i w:val="0"/>
                <w:color w:val="1A1A1A"/>
                <w:sz w:val="18"/>
              </w:rPr>
              <w:t>Eventleitung und Haustechnik</w:t>
            </w:r>
          </w:p>
        </w:tc>
      </w:tr>
      <w:tr>
        <w:trPr>
          <w:cantSplit w:val="true"/>
        </w:trPr>
        <w:tc>
          <w:tcPr>
            <w:tcW w:type="dxa" w:w="3213"/>
          </w:tcPr>
          <w:p>
            <w:pPr>
              <w:spacing w:after="0" w:before="0"/>
            </w:pPr>
            <w:r/>
            <w:r>
              <w:rPr>
                <w:b w:val="0"/>
                <w:i w:val="0"/>
                <w:color w:val="1A1A1A"/>
                <w:sz w:val="18"/>
              </w:rPr>
              <w:t>Aktuell halten</w:t>
            </w:r>
          </w:p>
        </w:tc>
        <w:tc>
          <w:tcPr>
            <w:tcW w:type="dxa" w:w="3213"/>
          </w:tcPr>
          <w:p>
            <w:pPr>
              <w:spacing w:after="0" w:before="0"/>
            </w:pPr>
            <w:r/>
            <w:r>
              <w:rPr>
                <w:b w:val="0"/>
                <w:i w:val="0"/>
                <w:color w:val="1A1A1A"/>
                <w:sz w:val="18"/>
              </w:rPr>
              <w:t>Quellen je Land, Rhythmus, Vermerk aufkommender Änderungen</w:t>
            </w:r>
          </w:p>
        </w:tc>
        <w:tc>
          <w:tcPr>
            <w:tcW w:type="dxa" w:w="3213"/>
          </w:tcPr>
          <w:p>
            <w:pPr>
              <w:spacing w:after="0" w:before="0"/>
            </w:pPr>
            <w:r/>
            <w:r>
              <w:rPr>
                <w:b w:val="0"/>
                <w:i w:val="0"/>
                <w:color w:val="1A1A1A"/>
                <w:sz w:val="18"/>
              </w:rPr>
              <w:t>Justiziarin, Quellen wie Kammern und Verbände</w:t>
            </w:r>
          </w:p>
        </w:tc>
      </w:tr>
      <w:tr>
        <w:trPr>
          <w:cantSplit w:val="true"/>
        </w:trPr>
        <w:tc>
          <w:tcPr>
            <w:tcW w:type="dxa" w:w="3213"/>
            <w:shd w:val="clear" w:color="auto" w:fill="F3EFE6"/>
          </w:tcPr>
          <w:p>
            <w:pPr>
              <w:spacing w:after="0" w:before="0"/>
            </w:pPr>
            <w:r/>
            <w:r>
              <w:rPr>
                <w:b w:val="0"/>
                <w:i w:val="0"/>
                <w:color w:val="1A1A1A"/>
                <w:sz w:val="18"/>
              </w:rPr>
              <w:t>Bewerten und melden</w:t>
            </w:r>
          </w:p>
        </w:tc>
        <w:tc>
          <w:tcPr>
            <w:tcW w:type="dxa" w:w="3213"/>
            <w:shd w:val="clear" w:color="auto" w:fill="F3EFE6"/>
          </w:tcPr>
          <w:p>
            <w:pPr>
              <w:spacing w:after="0" w:before="0"/>
            </w:pPr>
            <w:r/>
            <w:r>
              <w:rPr>
                <w:b w:val="0"/>
                <w:i w:val="0"/>
                <w:color w:val="1A1A1A"/>
                <w:sz w:val="18"/>
              </w:rPr>
              <w:t>Erfüllung prüfen, Ergebnis an die Managementbewertung</w:t>
            </w:r>
          </w:p>
        </w:tc>
        <w:tc>
          <w:tcPr>
            <w:tcW w:type="dxa" w:w="3213"/>
            <w:shd w:val="clear" w:color="auto" w:fill="F3EFE6"/>
          </w:tcPr>
          <w:p>
            <w:pPr>
              <w:spacing w:after="0" w:before="0"/>
            </w:pPr>
            <w:r/>
            <w:r>
              <w:rPr>
                <w:b w:val="0"/>
                <w:i w:val="0"/>
                <w:color w:val="1A1A1A"/>
                <w:sz w:val="18"/>
              </w:rPr>
              <w:t>Geschäftsführung je Haus, Beirat der Gruppe</w:t>
            </w:r>
          </w:p>
        </w:tc>
      </w:tr>
    </w:tbl>
    <w:p>
      <w:pPr>
        <w:spacing w:after="40"/>
      </w:pPr>
    </w:p>
    <w:p>
      <w:pPr>
        <w:pStyle w:val="Heading2"/>
      </w:pPr>
      <w:r>
        <w:t>Praktische Anwendung: ein Rechtskataster für Veranstaltungen in sieben Schritten aufbauen</w:t>
      </w:r>
    </w:p>
    <w:p>
      <w:pPr>
        <w:tabs>
          <w:tab w:pos="340" w:val="left"/>
        </w:tabs>
        <w:ind w:left="340" w:hanging="340"/>
      </w:pPr>
      <w:r>
        <w:rPr>
          <w:b/>
          <w:color w:val="8C5A2B"/>
        </w:rPr>
        <w:t>1.</w:t>
        <w:tab/>
      </w:r>
      <w:r>
        <w:rPr>
          <w:b/>
        </w:rPr>
        <w:t>Das Verfahren für die Gruppe festlegen.</w:t>
      </w:r>
      <w:r>
        <w:t xml:space="preserve"> Die Justiziarin beschreibt auf einer Seite, wie Anforderungen gefunden, übersetzt, aktuell gehalten und bewertet werden, und wer was tut.</w:t>
      </w:r>
    </w:p>
    <w:p>
      <w:pPr>
        <w:tabs>
          <w:tab w:pos="340" w:val="left"/>
        </w:tabs>
        <w:ind w:left="340" w:hanging="340"/>
      </w:pPr>
      <w:r>
        <w:rPr>
          <w:b/>
          <w:color w:val="8C5A2B"/>
        </w:rPr>
        <w:t>2.</w:t>
        <w:tab/>
      </w:r>
      <w:r>
        <w:rPr>
          <w:b/>
        </w:rPr>
        <w:t>Je Haus die Ortsebene aufnehmen.</w:t>
      </w:r>
      <w:r>
        <w:t xml:space="preserve"> Genehmigungen, Auflagen, Bescheide, Landes- oder Kantonsrecht: jedes Haus für sich, mit einer benannten Person.</w:t>
      </w:r>
    </w:p>
    <w:p>
      <w:pPr>
        <w:tabs>
          <w:tab w:pos="340" w:val="left"/>
        </w:tabs>
        <w:ind w:left="340" w:hanging="340"/>
      </w:pPr>
      <w:r>
        <w:rPr>
          <w:b/>
          <w:color w:val="8C5A2B"/>
        </w:rPr>
        <w:t>3.</w:t>
        <w:tab/>
      </w:r>
      <w:r>
        <w:rPr>
          <w:b/>
        </w:rPr>
        <w:t>Jede Anforderung als Pflicht schreiben.</w:t>
      </w:r>
      <w:r>
        <w:t xml:space="preserve"> Nicht «Versammlungsstättenverordnung», sondern «Betreiber oder Vertreter während des Betriebs anwesend; Name im Dienstplan».</w:t>
      </w:r>
    </w:p>
    <w:p>
      <w:pPr>
        <w:tabs>
          <w:tab w:pos="340" w:val="left"/>
        </w:tabs>
        <w:ind w:left="340" w:hanging="340"/>
      </w:pPr>
      <w:r>
        <w:rPr>
          <w:b/>
          <w:color w:val="8C5A2B"/>
        </w:rPr>
        <w:t>4.</w:t>
        <w:tab/>
      </w:r>
      <w:r>
        <w:rPr>
          <w:b/>
        </w:rPr>
        <w:t>Quellen je Land bestimmen.</w:t>
      </w:r>
      <w:r>
        <w:t xml:space="preserve"> Kammer, Verband, amtliches Gesetzesportal; wer liest sie, wie oft, und wohin geht ein Hinweis.</w:t>
      </w:r>
    </w:p>
    <w:p>
      <w:pPr>
        <w:tabs>
          <w:tab w:pos="340" w:val="left"/>
        </w:tabs>
        <w:ind w:left="340" w:hanging="340"/>
      </w:pPr>
      <w:r>
        <w:rPr>
          <w:b/>
          <w:color w:val="8C5A2B"/>
        </w:rPr>
        <w:t>5.</w:t>
        <w:tab/>
      </w:r>
      <w:r>
        <w:rPr>
          <w:b/>
        </w:rPr>
        <w:t>Aufkommendes eigens vermerken.</w:t>
      </w:r>
      <w:r>
        <w:t xml:space="preserve"> Jede Änderung mit Stichtag, betroffener Pflicht und dem Datum, bis zu dem das Haus vorbereitet sein muss.</w:t>
      </w:r>
    </w:p>
    <w:p>
      <w:pPr>
        <w:tabs>
          <w:tab w:pos="340" w:val="left"/>
        </w:tabs>
        <w:ind w:left="340" w:hanging="340"/>
      </w:pPr>
      <w:r>
        <w:rPr>
          <w:b/>
          <w:color w:val="8C5A2B"/>
        </w:rPr>
        <w:t>6.</w:t>
        <w:tab/>
      </w:r>
      <w:r>
        <w:rPr>
          <w:b/>
        </w:rPr>
        <w:t>Verträge gegen das Kataster lesen.</w:t>
      </w:r>
      <w:r>
        <w:t xml:space="preserve"> Klauseln über Betreiberpflichten, Daten, Arbeitszeiten und Abfall vor der Unterschrift mit der Pflichtenliste abgleichen.</w:t>
      </w:r>
    </w:p>
    <w:p>
      <w:pPr>
        <w:tabs>
          <w:tab w:pos="340" w:val="left"/>
        </w:tabs>
        <w:ind w:left="340" w:hanging="340"/>
      </w:pPr>
      <w:r>
        <w:rPr>
          <w:b/>
          <w:color w:val="8C5A2B"/>
        </w:rPr>
        <w:t>7.</w:t>
        <w:tab/>
      </w:r>
      <w:r>
        <w:rPr>
          <w:b/>
        </w:rPr>
        <w:t>Bewerten und nach oben melden.</w:t>
      </w:r>
      <w:r>
        <w:t xml:space="preserve"> Einmal im Jahr je Haus die Erfüllung prüfen; offene Punkte und rechtliche Entwicklungen gehen in die Managementbewertung (2.15).</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Verfahren für die Gruppe festlegen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 Haus die Ortsebene aufnehmen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Jede Anforderung als Pflicht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Quellen je Land bestimmen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Aufkommendes eigens vermerken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Verträge gegen das Kataster lesen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Bewerten und nach oben melden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Gibt es einen beschriebenen Prozess, der Anforderungen findet, übersetzt und aktuell hält?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jedes Haus ein eigenes Verzeichnis für sein Land und seinen Ort?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jeder Anforderung eine Person und ein Nachweis zugeordnet?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Sind aufkommende Anforderungen mit Stichtag vermerkt?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Klauseln über Betreiberpflichten vor der Unterschrift geprüft?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im Dienstplan nach Nachtbanketten die Ruhezeit gesichert?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für jede Weitergabe von Teilnehmerdaten die Grundlage geklärt?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die Eigentümerschaft entschieden, was gilt, wo das Recht wenig verlangt?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Gesetzesnamen abhaken.</w:t>
      </w:r>
      <w:r>
        <w:t xml:space="preserve"> Ein Häkchen sagt nicht, wer die Pflicht erfüllt.</w:t>
      </w:r>
    </w:p>
    <w:p>
      <w:pPr>
        <w:tabs>
          <w:tab w:pos="340" w:val="left"/>
        </w:tabs>
        <w:ind w:left="340" w:hanging="340"/>
      </w:pPr>
      <w:r>
        <w:rPr>
          <w:color w:val="8C5A2B"/>
        </w:rPr>
        <w:t>–</w:t>
        <w:tab/>
      </w:r>
      <w:r>
        <w:rPr>
          <w:b/>
        </w:rPr>
        <w:t>Die Checkliste eines Hauses in die anderen kopieren.</w:t>
      </w:r>
      <w:r>
        <w:t xml:space="preserve"> Das Recht einer Veranstaltung ist das Recht ihres Ortes.</w:t>
      </w:r>
    </w:p>
    <w:p>
      <w:pPr>
        <w:tabs>
          <w:tab w:pos="340" w:val="left"/>
        </w:tabs>
        <w:ind w:left="340" w:hanging="340"/>
      </w:pPr>
      <w:r>
        <w:rPr>
          <w:color w:val="8C5A2B"/>
        </w:rPr>
        <w:t>–</w:t>
        <w:tab/>
      </w:r>
      <w:r>
        <w:rPr>
          <w:b/>
        </w:rPr>
        <w:t>Betreiberpflichten übertragen, ohne zu prüfen.</w:t>
      </w:r>
      <w:r>
        <w:t xml:space="preserve"> Die Verantwortung bleibt beim Haus.</w:t>
      </w:r>
    </w:p>
    <w:p>
      <w:pPr>
        <w:tabs>
          <w:tab w:pos="340" w:val="left"/>
        </w:tabs>
        <w:ind w:left="340" w:hanging="340"/>
      </w:pPr>
      <w:r>
        <w:rPr>
          <w:color w:val="8C5A2B"/>
        </w:rPr>
        <w:t>–</w:t>
        <w:tab/>
      </w:r>
      <w:r>
        <w:rPr>
          <w:b/>
        </w:rPr>
        <w:t>Nur geltendes Recht erfassen.</w:t>
      </w:r>
      <w:r>
        <w:t xml:space="preserve"> Eine Änderung wird dann am Stichtag bemerkt, also zu spät.</w:t>
      </w:r>
    </w:p>
    <w:p>
      <w:pPr>
        <w:tabs>
          <w:tab w:pos="340" w:val="left"/>
        </w:tabs>
        <w:ind w:left="340" w:hanging="340"/>
      </w:pPr>
      <w:r>
        <w:rPr>
          <w:color w:val="8C5A2B"/>
        </w:rPr>
        <w:t>–</w:t>
        <w:tab/>
      </w:r>
      <w:r>
        <w:rPr>
          <w:b/>
        </w:rPr>
        <w:t>Daten von Gästen weitergeben, weil es üblich ist.</w:t>
      </w:r>
      <w:r>
        <w:t xml:space="preserve"> Üblich ist keine Rechtsgrundlage.</w:t>
      </w:r>
    </w:p>
    <w:p>
      <w:pPr>
        <w:tabs>
          <w:tab w:pos="340" w:val="left"/>
        </w:tabs>
        <w:ind w:left="340" w:hanging="340"/>
      </w:pPr>
      <w:r>
        <w:rPr>
          <w:color w:val="8C5A2B"/>
        </w:rPr>
        <w:t>–</w:t>
        <w:tab/>
      </w:r>
      <w:r>
        <w:rPr>
          <w:b/>
        </w:rPr>
        <w:t>Das Gesetz für die Obergrenze halten.</w:t>
      </w:r>
      <w:r>
        <w:t xml:space="preserve"> Wo es wenig verlangt, entscheidet das Leitbild.</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der Fachtagung</w:t>
            </w:r>
          </w:p>
        </w:tc>
        <w:tc>
          <w:tcPr>
            <w:tcW w:type="dxa" w:w="1474"/>
          </w:tcPr>
          <w:p>
            <w:pPr>
              <w:spacing w:after="0" w:before="0"/>
            </w:pPr>
            <w:r/>
            <w:r>
              <w:rPr>
                <w:b w:val="0"/>
                <w:i w:val="0"/>
                <w:color w:val="1A1A1A"/>
                <w:sz w:val="18"/>
              </w:rPr>
              <w:t>€ 310.000</w:t>
            </w:r>
          </w:p>
        </w:tc>
        <w:tc>
          <w:tcPr>
            <w:tcW w:type="dxa" w:w="3175"/>
          </w:tcPr>
          <w:p>
            <w:pPr>
              <w:spacing w:after="0" w:before="0"/>
            </w:pPr>
            <w:r/>
            <w:r>
              <w:rPr>
                <w:b w:val="0"/>
                <w:i w:val="0"/>
                <w:color w:val="1A1A1A"/>
                <w:sz w:val="18"/>
              </w:rPr>
              <w:t>Saal, Ausstellungsfläche, Verpflegung, 520 Zimmernächte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Aufbau des Verfahrens, Justiziarin</w:t>
            </w:r>
          </w:p>
        </w:tc>
        <w:tc>
          <w:tcPr>
            <w:tcW w:type="dxa" w:w="1474"/>
            <w:shd w:val="clear" w:color="auto" w:fill="F3EFE6"/>
          </w:tcPr>
          <w:p>
            <w:pPr>
              <w:spacing w:after="0" w:before="0"/>
            </w:pPr>
            <w:r/>
            <w:r>
              <w:rPr>
                <w:b w:val="0"/>
                <w:i w:val="0"/>
                <w:color w:val="1A1A1A"/>
                <w:sz w:val="18"/>
              </w:rPr>
              <w:t>40 Stunden</w:t>
            </w:r>
          </w:p>
        </w:tc>
        <w:tc>
          <w:tcPr>
            <w:tcW w:type="dxa" w:w="3175"/>
            <w:shd w:val="clear" w:color="auto" w:fill="F3EFE6"/>
          </w:tcPr>
          <w:p>
            <w:pPr>
              <w:spacing w:after="0" w:before="0"/>
            </w:pPr>
            <w:r/>
            <w:r>
              <w:rPr>
                <w:b w:val="0"/>
                <w:i w:val="0"/>
                <w:color w:val="1A1A1A"/>
                <w:sz w:val="18"/>
              </w:rPr>
              <w:t>einmalig, für die Gruppe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Verzeichnis je Haus, Eventleitung und Technik</w:t>
            </w:r>
          </w:p>
        </w:tc>
        <w:tc>
          <w:tcPr>
            <w:tcW w:type="dxa" w:w="1474"/>
          </w:tcPr>
          <w:p>
            <w:pPr>
              <w:spacing w:after="0" w:before="0"/>
            </w:pPr>
            <w:r/>
            <w:r>
              <w:rPr>
                <w:b w:val="0"/>
                <w:i w:val="0"/>
                <w:color w:val="1A1A1A"/>
                <w:sz w:val="18"/>
              </w:rPr>
              <w:t>3 × 30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Pflege je Haus</w:t>
            </w:r>
          </w:p>
        </w:tc>
        <w:tc>
          <w:tcPr>
            <w:tcW w:type="dxa" w:w="1474"/>
            <w:shd w:val="clear" w:color="auto" w:fill="F3EFE6"/>
          </w:tcPr>
          <w:p>
            <w:pPr>
              <w:spacing w:after="0" w:before="0"/>
            </w:pPr>
            <w:r/>
            <w:r>
              <w:rPr>
                <w:b w:val="0"/>
                <w:i w:val="0"/>
                <w:color w:val="1A1A1A"/>
                <w:sz w:val="18"/>
              </w:rPr>
              <w:t>3 × 4 Stunden im Monat</w:t>
            </w:r>
          </w:p>
        </w:tc>
        <w:tc>
          <w:tcPr>
            <w:tcW w:type="dxa" w:w="3175"/>
            <w:shd w:val="clear" w:color="auto" w:fill="F3EFE6"/>
          </w:tcPr>
          <w:p>
            <w:pPr>
              <w:spacing w:after="0" w:before="0"/>
            </w:pPr>
            <w:r/>
            <w:r>
              <w:rPr>
                <w:b w:val="0"/>
                <w:i w:val="0"/>
                <w:color w:val="1A1A1A"/>
                <w:sz w:val="18"/>
              </w:rPr>
              <w:t>laufend</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Externe Durchsicht je Land</w:t>
            </w:r>
          </w:p>
        </w:tc>
        <w:tc>
          <w:tcPr>
            <w:tcW w:type="dxa" w:w="1474"/>
          </w:tcPr>
          <w:p>
            <w:pPr>
              <w:spacing w:after="0" w:before="0"/>
            </w:pPr>
            <w:r/>
            <w:r>
              <w:rPr>
                <w:b w:val="0"/>
                <w:i w:val="0"/>
                <w:color w:val="1A1A1A"/>
                <w:sz w:val="18"/>
              </w:rPr>
              <w:t>3 × € 3.000</w:t>
            </w:r>
          </w:p>
        </w:tc>
        <w:tc>
          <w:tcPr>
            <w:tcW w:type="dxa" w:w="3175"/>
          </w:tcPr>
          <w:p>
            <w:pPr>
              <w:spacing w:after="0" w:before="0"/>
            </w:pPr>
            <w:r/>
            <w:r>
              <w:rPr>
                <w:b w:val="0"/>
                <w:i w:val="0"/>
                <w:color w:val="1A1A1A"/>
                <w:sz w:val="18"/>
              </w:rPr>
              <w:t>einmalig, Fachanwalt oder Kammer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Zweite Bankettschicht für das Frühstück</w:t>
            </w:r>
          </w:p>
        </w:tc>
        <w:tc>
          <w:tcPr>
            <w:tcW w:type="dxa" w:w="1474"/>
            <w:shd w:val="clear" w:color="auto" w:fill="F3EFE6"/>
          </w:tcPr>
          <w:p>
            <w:pPr>
              <w:spacing w:after="0" w:before="0"/>
            </w:pPr>
            <w:r/>
            <w:r>
              <w:rPr>
                <w:b w:val="0"/>
                <w:i w:val="0"/>
                <w:color w:val="1A1A1A"/>
                <w:sz w:val="18"/>
              </w:rPr>
              <w:t>€ 1.400</w:t>
            </w:r>
          </w:p>
        </w:tc>
        <w:tc>
          <w:tcPr>
            <w:tcW w:type="dxa" w:w="3175"/>
            <w:shd w:val="clear" w:color="auto" w:fill="F3EFE6"/>
          </w:tcPr>
          <w:p>
            <w:pPr>
              <w:spacing w:after="0" w:before="0"/>
            </w:pPr>
            <w:r/>
            <w:r>
              <w:rPr>
                <w:b w:val="0"/>
                <w:i w:val="0"/>
                <w:color w:val="1A1A1A"/>
                <w:sz w:val="18"/>
              </w:rPr>
              <w:t>je Nachtbankett dieser Größe</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setzt den einmaligen Aufwand von rund hundertdreißig Stunden und neuntausend Euro neben eine einzige Tagung. Wie viel ein eingestellter Betrieb, eine untersagte Abendveranstaltung oder eine Datenpanne mit sechzig Ausstellern kosten würde, rechnet sie nicht; solche Zahlen wären geraten.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Prozess für aktuelle und aufkommende Anforderungen (6.1.3)</w:t>
            </w:r>
          </w:p>
        </w:tc>
        <w:tc>
          <w:tcPr>
            <w:tcW w:type="dxa" w:w="3175"/>
          </w:tcPr>
          <w:p>
            <w:pPr>
              <w:spacing w:after="0" w:before="0"/>
            </w:pPr>
            <w:r/>
            <w:r>
              <w:rPr>
                <w:b w:val="0"/>
                <w:i w:val="0"/>
                <w:color w:val="1A1A1A"/>
                <w:sz w:val="18"/>
              </w:rPr>
              <w:t>Verfahrensbeschreibung, Liste der Quellen je Land, Vermerk aufkommender Änderungen</w:t>
            </w:r>
          </w:p>
        </w:tc>
        <w:tc>
          <w:tcPr>
            <w:tcW w:type="dxa" w:w="3175"/>
          </w:tcPr>
          <w:p>
            <w:pPr>
              <w:spacing w:after="0" w:before="0"/>
            </w:pPr>
            <w:r/>
            <w:r>
              <w:rPr>
                <w:b w:val="0"/>
                <w:i w:val="0"/>
                <w:color w:val="1A1A1A"/>
                <w:sz w:val="18"/>
              </w:rPr>
              <w:t>Aufbau als Tabelle mit Pflicht, Person, Nachweis</w:t>
            </w:r>
          </w:p>
        </w:tc>
      </w:tr>
      <w:tr>
        <w:trPr>
          <w:cantSplit w:val="true"/>
        </w:trPr>
        <w:tc>
          <w:tcPr>
            <w:tcW w:type="dxa" w:w="3288"/>
            <w:shd w:val="clear" w:color="auto" w:fill="F3EFE6"/>
          </w:tcPr>
          <w:p>
            <w:pPr>
              <w:spacing w:after="0" w:before="0"/>
            </w:pPr>
            <w:r/>
            <w:r>
              <w:rPr>
                <w:b w:val="0"/>
                <w:i w:val="0"/>
                <w:color w:val="1A1A1A"/>
                <w:sz w:val="18"/>
              </w:rPr>
              <w:t>Periodische Überprüfung (6.1.3)</w:t>
            </w:r>
          </w:p>
        </w:tc>
        <w:tc>
          <w:tcPr>
            <w:tcW w:type="dxa" w:w="3175"/>
            <w:shd w:val="clear" w:color="auto" w:fill="F3EFE6"/>
          </w:tcPr>
          <w:p>
            <w:pPr>
              <w:spacing w:after="0" w:before="0"/>
            </w:pPr>
            <w:r/>
            <w:r>
              <w:rPr>
                <w:b w:val="0"/>
                <w:i w:val="0"/>
                <w:color w:val="1A1A1A"/>
                <w:sz w:val="18"/>
              </w:rPr>
              <w:t>Datum der letzten Durchsicht je Haus</w:t>
            </w:r>
          </w:p>
        </w:tc>
        <w:tc>
          <w:tcPr>
            <w:tcW w:type="dxa" w:w="3175"/>
            <w:shd w:val="clear" w:color="auto" w:fill="F3EFE6"/>
          </w:tcPr>
          <w:p>
            <w:pPr>
              <w:spacing w:after="0" w:before="0"/>
            </w:pPr>
            <w:r/>
            <w:r>
              <w:rPr>
                <w:b w:val="0"/>
                <w:i w:val="0"/>
                <w:color w:val="1A1A1A"/>
                <w:sz w:val="18"/>
              </w:rPr>
              <w:t>Rhythmus, etwa vierteljährlich</w:t>
            </w:r>
          </w:p>
        </w:tc>
      </w:tr>
      <w:tr>
        <w:trPr>
          <w:cantSplit w:val="true"/>
        </w:trPr>
        <w:tc>
          <w:tcPr>
            <w:tcW w:type="dxa" w:w="3288"/>
          </w:tcPr>
          <w:p>
            <w:pPr>
              <w:spacing w:after="0" w:before="0"/>
            </w:pPr>
            <w:r/>
            <w:r>
              <w:rPr>
                <w:b w:val="0"/>
                <w:i w:val="0"/>
                <w:color w:val="1A1A1A"/>
                <w:sz w:val="18"/>
              </w:rPr>
              <w:t>Verpflichtung zur Erfüllung in der Politik (5.2 c)</w:t>
            </w:r>
          </w:p>
        </w:tc>
        <w:tc>
          <w:tcPr>
            <w:tcW w:type="dxa" w:w="3175"/>
          </w:tcPr>
          <w:p>
            <w:pPr>
              <w:spacing w:after="0" w:before="0"/>
            </w:pPr>
            <w:r/>
            <w:r>
              <w:rPr>
                <w:b w:val="0"/>
                <w:i w:val="0"/>
                <w:color w:val="1A1A1A"/>
                <w:sz w:val="18"/>
              </w:rPr>
              <w:t>Satz in der unterzeichneten Politik</w:t>
            </w:r>
          </w:p>
        </w:tc>
        <w:tc>
          <w:tcPr>
            <w:tcW w:type="dxa" w:w="3175"/>
          </w:tcPr>
          <w:p>
            <w:pPr>
              <w:spacing w:after="0" w:before="0"/>
            </w:pPr>
            <w:r/>
            <w:r>
              <w:rPr>
                <w:b w:val="0"/>
                <w:i w:val="0"/>
                <w:color w:val="1A1A1A"/>
                <w:sz w:val="18"/>
              </w:rPr>
              <w:t>Rechtsfelder nach A.8</w:t>
            </w:r>
          </w:p>
        </w:tc>
      </w:tr>
      <w:tr>
        <w:trPr>
          <w:cantSplit w:val="true"/>
        </w:trPr>
        <w:tc>
          <w:tcPr>
            <w:tcW w:type="dxa" w:w="3288"/>
            <w:shd w:val="clear" w:color="auto" w:fill="F3EFE6"/>
          </w:tcPr>
          <w:p>
            <w:pPr>
              <w:spacing w:after="0" w:before="0"/>
            </w:pPr>
            <w:r/>
            <w:r>
              <w:rPr>
                <w:b w:val="0"/>
                <w:i w:val="0"/>
                <w:color w:val="1A1A1A"/>
                <w:sz w:val="18"/>
              </w:rPr>
              <w:t>Dokumentierte Bewertung der Rechtskonformität (9.1 b)</w:t>
            </w:r>
          </w:p>
        </w:tc>
        <w:tc>
          <w:tcPr>
            <w:tcW w:type="dxa" w:w="3175"/>
            <w:shd w:val="clear" w:color="auto" w:fill="F3EFE6"/>
          </w:tcPr>
          <w:p>
            <w:pPr>
              <w:spacing w:after="0" w:before="0"/>
            </w:pPr>
            <w:r/>
            <w:r>
              <w:rPr>
                <w:b w:val="0"/>
                <w:i w:val="0"/>
                <w:color w:val="1A1A1A"/>
                <w:sz w:val="18"/>
              </w:rPr>
              <w:t>Protokoll der Bewertung je Haus mit offenen Punkten</w:t>
            </w:r>
          </w:p>
        </w:tc>
        <w:tc>
          <w:tcPr>
            <w:tcW w:type="dxa" w:w="3175"/>
            <w:shd w:val="clear" w:color="auto" w:fill="F3EFE6"/>
          </w:tcPr>
          <w:p>
            <w:pPr>
              <w:spacing w:after="0" w:before="0"/>
            </w:pPr>
            <w:r/>
            <w:r>
              <w:rPr>
                <w:b w:val="0"/>
                <w:i w:val="0"/>
                <w:color w:val="1A1A1A"/>
                <w:sz w:val="18"/>
              </w:rPr>
              <w:t>Stichproben bei Veranstaltungen</w:t>
            </w:r>
          </w:p>
        </w:tc>
      </w:tr>
      <w:tr>
        <w:trPr>
          <w:cantSplit w:val="true"/>
        </w:trPr>
        <w:tc>
          <w:tcPr>
            <w:tcW w:type="dxa" w:w="3288"/>
          </w:tcPr>
          <w:p>
            <w:pPr>
              <w:spacing w:after="0" w:before="0"/>
            </w:pPr>
            <w:r/>
            <w:r>
              <w:rPr>
                <w:b w:val="0"/>
                <w:i w:val="0"/>
                <w:color w:val="1A1A1A"/>
                <w:sz w:val="18"/>
              </w:rPr>
              <w:t>Rechtliche Entwicklungen in der Managementbewertung (9.3.2 j)</w:t>
            </w:r>
          </w:p>
        </w:tc>
        <w:tc>
          <w:tcPr>
            <w:tcW w:type="dxa" w:w="3175"/>
          </w:tcPr>
          <w:p>
            <w:pPr>
              <w:spacing w:after="0" w:before="0"/>
            </w:pPr>
            <w:r/>
            <w:r>
              <w:rPr>
                <w:b w:val="0"/>
                <w:i w:val="0"/>
                <w:color w:val="1A1A1A"/>
                <w:sz w:val="18"/>
              </w:rPr>
              <w:t>Tagesordnungspunkt im Protokoll</w:t>
            </w:r>
          </w:p>
        </w:tc>
        <w:tc>
          <w:tcPr>
            <w:tcW w:type="dxa" w:w="3175"/>
          </w:tcPr>
          <w:p>
            <w:pPr>
              <w:spacing w:after="0" w:before="0"/>
            </w:pPr>
            <w:r/>
            <w:r>
              <w:rPr>
                <w:b w:val="0"/>
                <w:i w:val="0"/>
                <w:color w:val="1A1A1A"/>
                <w:sz w:val="18"/>
              </w:rPr>
              <w:t>Bericht der Justiziarin an den Beirat</w:t>
            </w:r>
          </w:p>
        </w:tc>
      </w:tr>
      <w:tr>
        <w:trPr>
          <w:cantSplit w:val="true"/>
        </w:trPr>
        <w:tc>
          <w:tcPr>
            <w:tcW w:type="dxa" w:w="3288"/>
            <w:shd w:val="clear" w:color="auto" w:fill="F3EFE6"/>
          </w:tcPr>
          <w:p>
            <w:pPr>
              <w:spacing w:after="0" w:before="0"/>
            </w:pPr>
            <w:r/>
            <w:r>
              <w:rPr>
                <w:b w:val="0"/>
                <w:i w:val="0"/>
                <w:color w:val="1A1A1A"/>
                <w:sz w:val="18"/>
              </w:rPr>
              <w:t>Orientierung an internationalen Normen, wo Mindestschutz fehlt (6.1.3)</w:t>
            </w:r>
          </w:p>
        </w:tc>
        <w:tc>
          <w:tcPr>
            <w:tcW w:type="dxa" w:w="3175"/>
            <w:shd w:val="clear" w:color="auto" w:fill="F3EFE6"/>
          </w:tcPr>
          <w:p>
            <w:pPr>
              <w:spacing w:after="0" w:before="0"/>
            </w:pPr>
            <w:r/>
            <w:r>
              <w:rPr>
                <w:b w:val="0"/>
                <w:i w:val="0"/>
                <w:color w:val="1A1A1A"/>
                <w:sz w:val="18"/>
              </w:rPr>
              <w:t>Entscheidung der Eigentümerschaft mit Begründung</w:t>
            </w:r>
          </w:p>
        </w:tc>
        <w:tc>
          <w:tcPr>
            <w:tcW w:type="dxa" w:w="3175"/>
            <w:shd w:val="clear" w:color="auto" w:fill="F3EFE6"/>
          </w:tcPr>
          <w:p>
            <w:pPr>
              <w:spacing w:after="0" w:before="0"/>
            </w:pPr>
            <w:r/>
            <w:r>
              <w:rPr>
                <w:b w:val="0"/>
                <w:i w:val="0"/>
                <w:color w:val="1A1A1A"/>
                <w:sz w:val="18"/>
              </w:rPr>
              <w:t>ISO 26000 und Rechtsstaatlichkeit nach A.11</w:t>
            </w:r>
          </w:p>
        </w:tc>
      </w:tr>
    </w:tbl>
    <w:p>
      <w:pPr>
        <w:spacing w:after="40"/>
      </w:pPr>
    </w:p>
    <w:p>
      <w:pPr>
        <w:pStyle w:val="Heading2"/>
      </w:pPr>
      <w:r>
        <w:t>DACH-Anker: sechs Felder eines Katasters für Veranstaltungen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 (Leipzig)</w:t>
            </w:r>
          </w:p>
        </w:tc>
        <w:tc>
          <w:tcPr>
            <w:tcW w:type="dxa" w:w="2721"/>
            <w:shd w:val="clear" w:color="auto" w:fill="8C5A2B"/>
          </w:tcPr>
          <w:p>
            <w:pPr>
              <w:spacing w:after="0" w:before="0"/>
            </w:pPr>
            <w:r/>
            <w:r>
              <w:rPr>
                <w:b/>
                <w:i w:val="0"/>
                <w:color w:val="FFFFFF"/>
                <w:sz w:val="17"/>
              </w:rPr>
              <w:t>Österreich (Linz)</w:t>
            </w:r>
          </w:p>
        </w:tc>
        <w:tc>
          <w:tcPr>
            <w:tcW w:type="dxa" w:w="2721"/>
            <w:shd w:val="clear" w:color="auto" w:fill="8C5A2B"/>
          </w:tcPr>
          <w:p>
            <w:pPr>
              <w:spacing w:after="0" w:before="0"/>
            </w:pPr>
            <w:r/>
            <w:r>
              <w:rPr>
                <w:b/>
                <w:i w:val="0"/>
                <w:color w:val="FFFFFF"/>
                <w:sz w:val="17"/>
              </w:rPr>
              <w:t>Schweiz (Zürich)</w:t>
            </w:r>
          </w:p>
        </w:tc>
      </w:tr>
      <w:tr>
        <w:trPr>
          <w:cantSplit w:val="true"/>
        </w:trPr>
        <w:tc>
          <w:tcPr>
            <w:tcW w:type="dxa" w:w="1474"/>
          </w:tcPr>
          <w:p>
            <w:pPr>
              <w:spacing w:after="0" w:before="0"/>
            </w:pPr>
            <w:r/>
            <w:r>
              <w:rPr>
                <w:b w:val="0"/>
                <w:i w:val="0"/>
                <w:color w:val="1A1A1A"/>
                <w:sz w:val="17"/>
              </w:rPr>
              <w:t>Versammlungsstätte und Brandschutz</w:t>
            </w:r>
          </w:p>
        </w:tc>
        <w:tc>
          <w:tcPr>
            <w:tcW w:type="dxa" w:w="2721"/>
          </w:tcPr>
          <w:p>
            <w:pPr>
              <w:spacing w:after="0" w:before="0"/>
            </w:pPr>
            <w:r/>
            <w:r>
              <w:rPr>
                <w:b w:val="0"/>
                <w:i w:val="0"/>
                <w:color w:val="1A1A1A"/>
                <w:sz w:val="17"/>
              </w:rPr>
              <w:t>SächsVStättVO: Räume für mehr als 200 Besucher; Betreiber verantwortlich, Übertragung auf Veranstalter möglich, Verantwortung bleibt (§ 38)</w:t>
            </w:r>
          </w:p>
        </w:tc>
        <w:tc>
          <w:tcPr>
            <w:tcW w:type="dxa" w:w="2721"/>
          </w:tcPr>
          <w:p>
            <w:pPr>
              <w:spacing w:after="0" w:before="0"/>
            </w:pPr>
            <w:r/>
            <w:r>
              <w:rPr>
                <w:b w:val="0"/>
                <w:i w:val="0"/>
                <w:color w:val="1A1A1A"/>
                <w:sz w:val="17"/>
              </w:rPr>
              <w:t>Veranstaltungsrecht der Länder; in Oberösterreich das Oö. Veranstaltungssicherheitsgesetz</w:t>
            </w:r>
          </w:p>
        </w:tc>
        <w:tc>
          <w:tcPr>
            <w:tcW w:type="dxa" w:w="2721"/>
          </w:tcPr>
          <w:p>
            <w:pPr>
              <w:spacing w:after="0" w:before="0"/>
            </w:pPr>
            <w:r/>
            <w:r>
              <w:rPr>
                <w:b w:val="0"/>
                <w:i w:val="0"/>
                <w:color w:val="1A1A1A"/>
                <w:sz w:val="17"/>
              </w:rPr>
              <w:t>Brandschutzvorschriften der VKF, für alle Kantone verbindlich; Totalrevision angekündigt; Stichtag im Kataster führen</w:t>
            </w:r>
          </w:p>
        </w:tc>
      </w:tr>
      <w:tr>
        <w:trPr>
          <w:cantSplit w:val="true"/>
        </w:trPr>
        <w:tc>
          <w:tcPr>
            <w:tcW w:type="dxa" w:w="1474"/>
            <w:shd w:val="clear" w:color="auto" w:fill="F3EFE6"/>
          </w:tcPr>
          <w:p>
            <w:pPr>
              <w:spacing w:after="0" w:before="0"/>
            </w:pPr>
            <w:r/>
            <w:r>
              <w:rPr>
                <w:b w:val="0"/>
                <w:i w:val="0"/>
                <w:color w:val="1A1A1A"/>
                <w:sz w:val="17"/>
              </w:rPr>
              <w:t>Arbeitszeit nach Nachtbanketten</w:t>
            </w:r>
          </w:p>
        </w:tc>
        <w:tc>
          <w:tcPr>
            <w:tcW w:type="dxa" w:w="2721"/>
            <w:shd w:val="clear" w:color="auto" w:fill="F3EFE6"/>
          </w:tcPr>
          <w:p>
            <w:pPr>
              <w:spacing w:after="0" w:before="0"/>
            </w:pPr>
            <w:r/>
            <w:r>
              <w:rPr>
                <w:b w:val="0"/>
                <w:i w:val="0"/>
                <w:color w:val="1A1A1A"/>
                <w:sz w:val="17"/>
              </w:rPr>
              <w:t>Nachtzeit 23 bis 6 Uhr (§ 2 ArbZG); Ruhezeit 11 Stunden, in Gaststätten und Beherbergung um eine Stunde kürzbar mit Ausgleich (§ 5 ArbZG)</w:t>
            </w:r>
          </w:p>
        </w:tc>
        <w:tc>
          <w:tcPr>
            <w:tcW w:type="dxa" w:w="2721"/>
            <w:shd w:val="clear" w:color="auto" w:fill="F3EFE6"/>
          </w:tcPr>
          <w:p>
            <w:pPr>
              <w:spacing w:after="0" w:before="0"/>
            </w:pPr>
            <w:r/>
            <w:r>
              <w:rPr>
                <w:b w:val="0"/>
                <w:i w:val="0"/>
                <w:color w:val="1A1A1A"/>
                <w:sz w:val="17"/>
              </w:rPr>
              <w:t>Ruhezeit 11 Stunden; nur Küche und Service bei geteilten Diensten mit mindestens 3 Stunden Unterbrechung bis 8 Stunden, Ausgleich binnen vier Wochen (§ 12 Abs. 2a AZG); Saisonregel und Kollektivvertrag prüfen</w:t>
            </w:r>
          </w:p>
        </w:tc>
        <w:tc>
          <w:tcPr>
            <w:tcW w:type="dxa" w:w="2721"/>
            <w:shd w:val="clear" w:color="auto" w:fill="F3EFE6"/>
          </w:tcPr>
          <w:p>
            <w:pPr>
              <w:spacing w:after="0" w:before="0"/>
            </w:pPr>
            <w:r/>
            <w:r>
              <w:rPr>
                <w:b w:val="0"/>
                <w:i w:val="0"/>
                <w:color w:val="1A1A1A"/>
                <w:sz w:val="17"/>
              </w:rPr>
              <w:t>Ruhezeit 11 Stunden, Verkürzung nach Art. 15a ArG; Nachtarbeit in Gastbetrieben ohne Bewilligung (Art. 23 ArGV 2); weitere Sonderbestimmungen der ArGV 2 und übrige Schutzvorschriften gelten</w:t>
            </w:r>
          </w:p>
        </w:tc>
      </w:tr>
      <w:tr>
        <w:trPr>
          <w:cantSplit w:val="true"/>
        </w:trPr>
        <w:tc>
          <w:tcPr>
            <w:tcW w:type="dxa" w:w="1474"/>
          </w:tcPr>
          <w:p>
            <w:pPr>
              <w:spacing w:after="0" w:before="0"/>
            </w:pPr>
            <w:r/>
            <w:r>
              <w:rPr>
                <w:b w:val="0"/>
                <w:i w:val="0"/>
                <w:color w:val="1A1A1A"/>
                <w:sz w:val="17"/>
              </w:rPr>
              <w:t>Lärm</w:t>
            </w:r>
          </w:p>
        </w:tc>
        <w:tc>
          <w:tcPr>
            <w:tcW w:type="dxa" w:w="2721"/>
          </w:tcPr>
          <w:p>
            <w:pPr>
              <w:spacing w:after="0" w:before="0"/>
            </w:pPr>
            <w:r/>
            <w:r>
              <w:rPr>
                <w:b w:val="0"/>
                <w:i w:val="0"/>
                <w:color w:val="1A1A1A"/>
                <w:sz w:val="17"/>
              </w:rPr>
              <w:t>TA Lärm, Nachtzeit 22 bis 6 Uhr (Nr. 6.4); Anwendung auf Veranstaltungslärm im Einzelfall klären</w:t>
            </w:r>
          </w:p>
        </w:tc>
        <w:tc>
          <w:tcPr>
            <w:tcW w:type="dxa" w:w="2721"/>
          </w:tcPr>
          <w:p>
            <w:pPr>
              <w:spacing w:after="0" w:before="0"/>
            </w:pPr>
            <w:r/>
            <w:r>
              <w:rPr>
                <w:b w:val="0"/>
                <w:i w:val="0"/>
                <w:color w:val="1A1A1A"/>
                <w:sz w:val="17"/>
              </w:rPr>
              <w:t>Landes- und Gemeinderecht</w:t>
            </w:r>
          </w:p>
        </w:tc>
        <w:tc>
          <w:tcPr>
            <w:tcW w:type="dxa" w:w="2721"/>
          </w:tcPr>
          <w:p>
            <w:pPr>
              <w:spacing w:after="0" w:before="0"/>
            </w:pPr>
            <w:r/>
            <w:r>
              <w:rPr>
                <w:b w:val="0"/>
                <w:i w:val="0"/>
                <w:color w:val="1A1A1A"/>
                <w:sz w:val="17"/>
              </w:rPr>
              <w:t>kantonales und kommunales Recht</w:t>
            </w:r>
          </w:p>
        </w:tc>
      </w:tr>
      <w:tr>
        <w:trPr>
          <w:cantSplit w:val="true"/>
        </w:trPr>
        <w:tc>
          <w:tcPr>
            <w:tcW w:type="dxa" w:w="1474"/>
            <w:shd w:val="clear" w:color="auto" w:fill="F3EFE6"/>
          </w:tcPr>
          <w:p>
            <w:pPr>
              <w:spacing w:after="0" w:before="0"/>
            </w:pPr>
            <w:r/>
            <w:r>
              <w:rPr>
                <w:b w:val="0"/>
                <w:i w:val="0"/>
                <w:color w:val="1A1A1A"/>
                <w:sz w:val="17"/>
              </w:rPr>
              <w:t>Barrierefreiheit</w:t>
            </w:r>
          </w:p>
        </w:tc>
        <w:tc>
          <w:tcPr>
            <w:tcW w:type="dxa" w:w="2721"/>
            <w:shd w:val="clear" w:color="auto" w:fill="F3EFE6"/>
          </w:tcPr>
          <w:p>
            <w:pPr>
              <w:spacing w:after="0" w:before="0"/>
            </w:pPr>
            <w:r/>
            <w:r>
              <w:rPr>
                <w:b w:val="0"/>
                <w:i w:val="0"/>
                <w:color w:val="1A1A1A"/>
                <w:sz w:val="17"/>
              </w:rPr>
              <w:t>BFSG seit 28. Juni 2025 für Dienstleistungen im elektronischen Geschäftsverkehr; Kleinstunternehmen ausgenommen</w:t>
            </w:r>
          </w:p>
        </w:tc>
        <w:tc>
          <w:tcPr>
            <w:tcW w:type="dxa" w:w="2721"/>
            <w:shd w:val="clear" w:color="auto" w:fill="F3EFE6"/>
          </w:tcPr>
          <w:p>
            <w:pPr>
              <w:spacing w:after="0" w:before="0"/>
            </w:pPr>
            <w:r/>
            <w:r>
              <w:rPr>
                <w:b w:val="0"/>
                <w:i w:val="0"/>
                <w:color w:val="1A1A1A"/>
                <w:sz w:val="17"/>
              </w:rPr>
              <w:t>BaFG seit 28. Juni 2025, ausdrücklich auch Buchungsmöglichkeiten von Hotels</w:t>
            </w:r>
          </w:p>
        </w:tc>
        <w:tc>
          <w:tcPr>
            <w:tcW w:type="dxa" w:w="2721"/>
            <w:shd w:val="clear" w:color="auto" w:fill="F3EFE6"/>
          </w:tcPr>
          <w:p>
            <w:pPr>
              <w:spacing w:after="0" w:before="0"/>
            </w:pPr>
            <w:r/>
            <w:r>
              <w:rPr>
                <w:b w:val="0"/>
                <w:i w:val="0"/>
                <w:color w:val="1A1A1A"/>
                <w:sz w:val="17"/>
              </w:rPr>
              <w:t>BehiG: Diskriminierungsverbot für öffentlich angebotene Dienstleistungen, keine Anpassungspflicht Privater</w:t>
            </w:r>
          </w:p>
        </w:tc>
      </w:tr>
      <w:tr>
        <w:trPr>
          <w:cantSplit w:val="true"/>
        </w:trPr>
        <w:tc>
          <w:tcPr>
            <w:tcW w:type="dxa" w:w="1474"/>
          </w:tcPr>
          <w:p>
            <w:pPr>
              <w:spacing w:after="0" w:before="0"/>
            </w:pPr>
            <w:r/>
            <w:r>
              <w:rPr>
                <w:b w:val="0"/>
                <w:i w:val="0"/>
                <w:color w:val="1A1A1A"/>
                <w:sz w:val="17"/>
              </w:rPr>
              <w:t>Abfall bei Auf- und Abbau</w:t>
            </w:r>
          </w:p>
        </w:tc>
        <w:tc>
          <w:tcPr>
            <w:tcW w:type="dxa" w:w="2721"/>
          </w:tcPr>
          <w:p>
            <w:pPr>
              <w:spacing w:after="0" w:before="0"/>
            </w:pPr>
            <w:r/>
            <w:r>
              <w:rPr>
                <w:b w:val="0"/>
                <w:i w:val="0"/>
                <w:color w:val="1A1A1A"/>
                <w:sz w:val="17"/>
              </w:rPr>
              <w:t>GewAbfV § 3: Getrennthaltung, auch Bioabfälle; Nachweis durch Fotos, Lagepläne, Wiegescheine</w:t>
            </w:r>
          </w:p>
        </w:tc>
        <w:tc>
          <w:tcPr>
            <w:tcW w:type="dxa" w:w="2721"/>
          </w:tcPr>
          <w:p>
            <w:pPr>
              <w:spacing w:after="0" w:before="0"/>
            </w:pPr>
            <w:r/>
            <w:r>
              <w:rPr>
                <w:b w:val="0"/>
                <w:i w:val="0"/>
                <w:color w:val="1A1A1A"/>
                <w:sz w:val="17"/>
              </w:rPr>
              <w:t>Abfallwirtschaftsgesetz 2002</w:t>
            </w:r>
          </w:p>
        </w:tc>
        <w:tc>
          <w:tcPr>
            <w:tcW w:type="dxa" w:w="2721"/>
          </w:tcPr>
          <w:p>
            <w:pPr>
              <w:spacing w:after="0" w:before="0"/>
            </w:pPr>
            <w:r/>
            <w:r>
              <w:rPr>
                <w:b w:val="0"/>
                <w:i w:val="0"/>
                <w:color w:val="1A1A1A"/>
                <w:sz w:val="17"/>
              </w:rPr>
              <w:t>Abfallverordnung (VVEA)</w:t>
            </w:r>
          </w:p>
        </w:tc>
      </w:tr>
      <w:tr>
        <w:trPr>
          <w:cantSplit w:val="true"/>
        </w:trPr>
        <w:tc>
          <w:tcPr>
            <w:tcW w:type="dxa" w:w="1474"/>
            <w:shd w:val="clear" w:color="auto" w:fill="F3EFE6"/>
          </w:tcPr>
          <w:p>
            <w:pPr>
              <w:spacing w:after="0" w:before="0"/>
            </w:pPr>
            <w:r/>
            <w:r>
              <w:rPr>
                <w:b w:val="0"/>
                <w:i w:val="0"/>
                <w:color w:val="1A1A1A"/>
                <w:sz w:val="17"/>
              </w:rPr>
              <w:t>Daten der Teilnehmer</w:t>
            </w:r>
          </w:p>
        </w:tc>
        <w:tc>
          <w:tcPr>
            <w:tcW w:type="dxa" w:w="2721"/>
            <w:shd w:val="clear" w:color="auto" w:fill="F3EFE6"/>
          </w:tcPr>
          <w:p>
            <w:pPr>
              <w:spacing w:after="0" w:before="0"/>
            </w:pPr>
            <w:r/>
            <w:r>
              <w:rPr>
                <w:b w:val="0"/>
                <w:i w:val="0"/>
                <w:color w:val="1A1A1A"/>
                <w:sz w:val="17"/>
              </w:rPr>
              <w:t>DSGVO; Meldung einer Verletzung unverzüglich und möglichst binnen 72 Stunden nach Bekanntwerden, außer wenn voraussichtlich kein Risiko besteht; Verzögerung begründen; jede Verletzung dokumentieren (Art. 33); Betroffene bei hohem Risiko benachrichtigen (Art. 34)</w:t>
            </w:r>
          </w:p>
        </w:tc>
        <w:tc>
          <w:tcPr>
            <w:tcW w:type="dxa" w:w="2721"/>
            <w:shd w:val="clear" w:color="auto" w:fill="F3EFE6"/>
          </w:tcPr>
          <w:p>
            <w:pPr>
              <w:spacing w:after="0" w:before="0"/>
            </w:pPr>
            <w:r/>
            <w:r>
              <w:rPr>
                <w:b w:val="0"/>
                <w:i w:val="0"/>
                <w:color w:val="1A1A1A"/>
                <w:sz w:val="17"/>
              </w:rPr>
              <w:t>DSGVO, wie Deutschland</w:t>
            </w:r>
          </w:p>
        </w:tc>
        <w:tc>
          <w:tcPr>
            <w:tcW w:type="dxa" w:w="2721"/>
            <w:shd w:val="clear" w:color="auto" w:fill="F3EFE6"/>
          </w:tcPr>
          <w:p>
            <w:pPr>
              <w:spacing w:after="0" w:before="0"/>
            </w:pPr>
            <w:r/>
            <w:r>
              <w:rPr>
                <w:b w:val="0"/>
                <w:i w:val="0"/>
                <w:color w:val="1A1A1A"/>
                <w:sz w:val="17"/>
              </w:rPr>
              <w:t>DSG, totalrevidiert seit 1. September 2023; Verletzungen der Datensicherheit mit voraussichtlich hohem Risiko so rasch als möglich an den EDÖB melden (Art. 24 DSG)</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1.12.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1.12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1.12 — Ein Rechtskataster für Veranstaltungen aufbauen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