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1.13</w:t>
      </w:r>
    </w:p>
    <w:p>
      <w:pPr>
        <w:pStyle w:val="Heading1"/>
      </w:pPr>
      <w:r>
        <w:t>Den zweiten Plan aufsetzen</w:t>
      </w:r>
    </w:p>
    <w:p>
      <w:pPr>
        <w:spacing w:after="0"/>
      </w:pPr>
      <w:r>
        <w:rPr>
          <w:b w:val="0"/>
          <w:i/>
          <w:color w:val="5A5A5A"/>
        </w:rPr>
        <w:t>Abschnitt 1.13 · Die Kosten der Improvisation: Änderungen planen und steuern</w:t>
      </w:r>
    </w:p>
    <w:p>
      <w:pPr>
        <w:spacing w:after="160"/>
      </w:pPr>
      <w:r>
        <w:rPr>
          <w:b w:val="0"/>
          <w:i w:val="0"/>
          <w:color w:val="5A5A5A"/>
          <w:sz w:val="18"/>
        </w:rPr>
        <w:t>Modellfall im Buch: Zermatt</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Wie oft hat Ihr Haus in der letzten Saison einen Anlass am Vortag umgeplant, und wer hat bezahlt, was das kostete? Wüssten Sie zu sagen, was von Ihren Grundsätzen übrig blieb, als um elf Uhr nachts die Lieferung kam?</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Arten von Änderungen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Art</w:t>
            </w:r>
          </w:p>
        </w:tc>
        <w:tc>
          <w:tcPr>
            <w:tcW w:type="dxa" w:w="3213"/>
            <w:shd w:val="clear" w:color="auto" w:fill="8C5A2B"/>
          </w:tcPr>
          <w:p>
            <w:pPr>
              <w:spacing w:after="0" w:before="0"/>
            </w:pPr>
            <w:r/>
            <w:r>
              <w:rPr>
                <w:b/>
                <w:i w:val="0"/>
                <w:color w:val="FFFFFF"/>
                <w:sz w:val="18"/>
              </w:rPr>
              <w:t>Beispiel im Berghotel</w:t>
            </w:r>
          </w:p>
        </w:tc>
        <w:tc>
          <w:tcPr>
            <w:tcW w:type="dxa" w:w="3213"/>
            <w:shd w:val="clear" w:color="auto" w:fill="8C5A2B"/>
          </w:tcPr>
          <w:p>
            <w:pPr>
              <w:spacing w:after="0" w:before="0"/>
            </w:pPr>
            <w:r/>
            <w:r>
              <w:rPr>
                <w:b/>
                <w:i w:val="0"/>
                <w:color w:val="FFFFFF"/>
                <w:sz w:val="18"/>
              </w:rPr>
              <w:t>Was vorher festgelegt wird</w:t>
            </w:r>
          </w:p>
        </w:tc>
      </w:tr>
      <w:tr>
        <w:trPr>
          <w:cantSplit w:val="true"/>
        </w:trPr>
        <w:tc>
          <w:tcPr>
            <w:tcW w:type="dxa" w:w="3213"/>
          </w:tcPr>
          <w:p>
            <w:pPr>
              <w:spacing w:after="0" w:before="0"/>
            </w:pPr>
            <w:r/>
            <w:r>
              <w:rPr>
                <w:b w:val="0"/>
                <w:i w:val="0"/>
                <w:color w:val="1A1A1A"/>
                <w:sz w:val="18"/>
              </w:rPr>
              <w:t>vorhersehbar, wiederkehrend</w:t>
            </w:r>
          </w:p>
        </w:tc>
        <w:tc>
          <w:tcPr>
            <w:tcW w:type="dxa" w:w="3213"/>
          </w:tcPr>
          <w:p>
            <w:pPr>
              <w:spacing w:after="0" w:before="0"/>
            </w:pPr>
            <w:r/>
            <w:r>
              <w:rPr>
                <w:b w:val="0"/>
                <w:i w:val="0"/>
                <w:color w:val="1A1A1A"/>
                <w:sz w:val="18"/>
              </w:rPr>
              <w:t>Gewitter am Abend des Anlasses</w:t>
            </w:r>
          </w:p>
        </w:tc>
        <w:tc>
          <w:tcPr>
            <w:tcW w:type="dxa" w:w="3213"/>
          </w:tcPr>
          <w:p>
            <w:pPr>
              <w:spacing w:after="0" w:before="0"/>
            </w:pPr>
            <w:r/>
            <w:r>
              <w:rPr>
                <w:b w:val="0"/>
                <w:i w:val="0"/>
                <w:color w:val="1A1A1A"/>
                <w:sz w:val="18"/>
              </w:rPr>
              <w:t>zweiter Plan mit Raum, Strom, Geschirr, Wegen, Preis, Entscheidungszeitpunkt</w:t>
            </w:r>
          </w:p>
        </w:tc>
      </w:tr>
      <w:tr>
        <w:trPr>
          <w:cantSplit w:val="true"/>
        </w:trPr>
        <w:tc>
          <w:tcPr>
            <w:tcW w:type="dxa" w:w="3213"/>
            <w:shd w:val="clear" w:color="auto" w:fill="F3EFE6"/>
          </w:tcPr>
          <w:p>
            <w:pPr>
              <w:spacing w:after="0" w:before="0"/>
            </w:pPr>
            <w:r/>
            <w:r>
              <w:rPr>
                <w:b w:val="0"/>
                <w:i w:val="0"/>
                <w:color w:val="1A1A1A"/>
                <w:sz w:val="18"/>
              </w:rPr>
              <w:t>unvorhersehbar</w:t>
            </w:r>
          </w:p>
        </w:tc>
        <w:tc>
          <w:tcPr>
            <w:tcW w:type="dxa" w:w="3213"/>
            <w:shd w:val="clear" w:color="auto" w:fill="F3EFE6"/>
          </w:tcPr>
          <w:p>
            <w:pPr>
              <w:spacing w:after="0" w:before="0"/>
            </w:pPr>
            <w:r/>
            <w:r>
              <w:rPr>
                <w:b w:val="0"/>
                <w:i w:val="0"/>
                <w:color w:val="1A1A1A"/>
                <w:sz w:val="18"/>
              </w:rPr>
              <w:t>Lieferant fällt aus, Stromausfall</w:t>
            </w:r>
          </w:p>
        </w:tc>
        <w:tc>
          <w:tcPr>
            <w:tcW w:type="dxa" w:w="3213"/>
            <w:shd w:val="clear" w:color="auto" w:fill="F3EFE6"/>
          </w:tcPr>
          <w:p>
            <w:pPr>
              <w:spacing w:after="0" w:before="0"/>
            </w:pPr>
            <w:r/>
            <w:r>
              <w:rPr>
                <w:b w:val="0"/>
                <w:i w:val="0"/>
                <w:color w:val="1A1A1A"/>
                <w:sz w:val="18"/>
              </w:rPr>
              <w:t>wer entscheidet, was nicht verhandelbar ist, wer informiert wird</w:t>
            </w:r>
          </w:p>
        </w:tc>
      </w:tr>
      <w:tr>
        <w:trPr>
          <w:cantSplit w:val="true"/>
        </w:trPr>
        <w:tc>
          <w:tcPr>
            <w:tcW w:type="dxa" w:w="3213"/>
          </w:tcPr>
          <w:p>
            <w:pPr>
              <w:spacing w:after="0" w:before="0"/>
            </w:pPr>
            <w:r/>
            <w:r>
              <w:rPr>
                <w:b w:val="0"/>
                <w:i w:val="0"/>
                <w:color w:val="1A1A1A"/>
                <w:sz w:val="18"/>
              </w:rPr>
              <w:t>Änderung des Systems</w:t>
            </w:r>
          </w:p>
        </w:tc>
        <w:tc>
          <w:tcPr>
            <w:tcW w:type="dxa" w:w="3213"/>
          </w:tcPr>
          <w:p>
            <w:pPr>
              <w:spacing w:after="0" w:before="0"/>
            </w:pPr>
            <w:r/>
            <w:r>
              <w:rPr>
                <w:b w:val="0"/>
                <w:i w:val="0"/>
                <w:color w:val="1A1A1A"/>
                <w:sz w:val="18"/>
              </w:rPr>
              <w:t>Rahmenvertrag, Stromkreis, neue Regel</w:t>
            </w:r>
          </w:p>
        </w:tc>
        <w:tc>
          <w:tcPr>
            <w:tcW w:type="dxa" w:w="3213"/>
          </w:tcPr>
          <w:p>
            <w:pPr>
              <w:spacing w:after="0" w:before="0"/>
            </w:pPr>
            <w:r/>
            <w:r>
              <w:rPr>
                <w:b w:val="0"/>
                <w:i w:val="0"/>
                <w:color w:val="1A1A1A"/>
                <w:sz w:val="18"/>
              </w:rPr>
              <w:t>wer beschliesst, wann, mit welcher Begründung</w:t>
            </w:r>
          </w:p>
        </w:tc>
      </w:tr>
    </w:tbl>
    <w:p>
      <w:pPr>
        <w:spacing w:after="40"/>
      </w:pPr>
    </w:p>
    <w:p>
      <w:pPr>
        <w:pStyle w:val="Heading2"/>
      </w:pPr>
      <w:r>
        <w:t>Praktische Anwendung: den zweiten Plan in sieben Schritten aufsetzen</w:t>
      </w:r>
    </w:p>
    <w:p>
      <w:pPr>
        <w:tabs>
          <w:tab w:pos="340" w:val="left"/>
        </w:tabs>
        <w:ind w:left="340" w:hanging="340"/>
      </w:pPr>
      <w:r>
        <w:rPr>
          <w:b/>
          <w:color w:val="8C5A2B"/>
        </w:rPr>
        <w:t>1.</w:t>
        <w:tab/>
      </w:r>
      <w:r>
        <w:rPr>
          <w:b/>
        </w:rPr>
        <w:t>Die Verlegungen der letzten Jahre zählen.</w:t>
      </w:r>
      <w:r>
        <w:t xml:space="preserve"> Wie viele Anlässe im Freien gab es, wie viele wurden verlegt, was hat jede Verlegung gekostet? Die Zahl macht aus dem Ausnahmefall eine Planungsgrösse.</w:t>
      </w:r>
    </w:p>
    <w:p>
      <w:pPr>
        <w:tabs>
          <w:tab w:pos="340" w:val="left"/>
        </w:tabs>
        <w:ind w:left="340" w:hanging="340"/>
      </w:pPr>
      <w:r>
        <w:rPr>
          <w:b/>
          <w:color w:val="8C5A2B"/>
        </w:rPr>
        <w:t>2.</w:t>
        <w:tab/>
      </w:r>
      <w:r>
        <w:rPr>
          <w:b/>
        </w:rPr>
        <w:t>Für jeden Ort im Freien einen zweiten Ort festlegen.</w:t>
      </w:r>
      <w:r>
        <w:t xml:space="preserve"> Mit Kapazität, Stromanschlüssen, Platz für Spülstation und Buffet, Wegen zur Küche. Was im zweiten Ort fehlt, steht auf dem Blatt.</w:t>
      </w:r>
    </w:p>
    <w:p>
      <w:pPr>
        <w:tabs>
          <w:tab w:pos="340" w:val="left"/>
        </w:tabs>
        <w:ind w:left="340" w:hanging="340"/>
      </w:pPr>
      <w:r>
        <w:rPr>
          <w:b/>
          <w:color w:val="8C5A2B"/>
        </w:rPr>
        <w:t>3.</w:t>
        <w:tab/>
      </w:r>
      <w:r>
        <w:rPr>
          <w:b/>
        </w:rPr>
        <w:t>Das Nicht-Verhandelbare beschliessen.</w:t>
      </w:r>
      <w:r>
        <w:t xml:space="preserve"> Die Eigentümerin legt fest, welche Grundsätze eine Verlegung überstehen müssen. Das sind wenige Punkte, und sie stehen auf demselben Blatt.</w:t>
      </w:r>
    </w:p>
    <w:p>
      <w:pPr>
        <w:tabs>
          <w:tab w:pos="340" w:val="left"/>
        </w:tabs>
        <w:ind w:left="340" w:hanging="340"/>
      </w:pPr>
      <w:r>
        <w:rPr>
          <w:b/>
          <w:color w:val="8C5A2B"/>
        </w:rPr>
        <w:t>4.</w:t>
        <w:tab/>
      </w:r>
      <w:r>
        <w:rPr>
          <w:b/>
        </w:rPr>
        <w:t>Rahmenverträge vor der Saison schliessen.</w:t>
      </w:r>
      <w:r>
        <w:t xml:space="preserve"> Mehrweggeschirr auf Abruf, Strom, Transport: mit Lieferanten, die nach Kriterien ausgewählt sind, zu Preisen, die ohne Eile verhandelt wurden.</w:t>
      </w:r>
    </w:p>
    <w:p>
      <w:pPr>
        <w:tabs>
          <w:tab w:pos="340" w:val="left"/>
        </w:tabs>
        <w:ind w:left="340" w:hanging="340"/>
      </w:pPr>
      <w:r>
        <w:rPr>
          <w:b/>
          <w:color w:val="8C5A2B"/>
        </w:rPr>
        <w:t>5.</w:t>
        <w:tab/>
      </w:r>
      <w:r>
        <w:rPr>
          <w:b/>
        </w:rPr>
        <w:t>Den Entscheidungszeitpunkt in die Offerte schreiben.</w:t>
      </w:r>
      <w:r>
        <w:t xml:space="preserve"> Wer entscheidet, bis wann, und was der Kunde im Fall der Verlegung zahlt. «Nach Aufwand» ersetzt das Haus durch eine Pauschale oder eine Liste.</w:t>
      </w:r>
    </w:p>
    <w:p>
      <w:pPr>
        <w:tabs>
          <w:tab w:pos="340" w:val="left"/>
        </w:tabs>
        <w:ind w:left="340" w:hanging="340"/>
      </w:pPr>
      <w:r>
        <w:rPr>
          <w:b/>
          <w:color w:val="8C5A2B"/>
        </w:rPr>
        <w:t>6.</w:t>
        <w:tab/>
      </w:r>
      <w:r>
        <w:rPr>
          <w:b/>
        </w:rPr>
        <w:t>Den Informationsweg festlegen.</w:t>
      </w:r>
      <w:r>
        <w:t xml:space="preserve"> Wer erfährt die Verlegung in welcher Stunde, einschliesslich Küche, Hausdienst und Nachtportier. Eine Lieferung, die nachts kommt, ist angekündigt.</w:t>
      </w:r>
    </w:p>
    <w:p>
      <w:pPr>
        <w:tabs>
          <w:tab w:pos="340" w:val="left"/>
        </w:tabs>
        <w:ind w:left="340" w:hanging="340"/>
      </w:pPr>
      <w:r>
        <w:rPr>
          <w:b/>
          <w:color w:val="8C5A2B"/>
        </w:rPr>
        <w:t>7.</w:t>
        <w:tab/>
      </w:r>
      <w:r>
        <w:rPr>
          <w:b/>
        </w:rPr>
        <w:t>Nach jeder Verlegung eine Notiz schreiben.</w:t>
      </w:r>
      <w:r>
        <w:t xml:space="preserve"> Was geändert wurde, warum, zu welchen Kosten, was von den Grundsätzen geblieben ist. Die Notiz geht an die Managementbewertung.</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Verlegungen der letzten Jahre zählen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Für jeden Ort im Freien einen zweiten Ort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Das Nicht-Verhandelbare beschliessen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Rahmenverträge vor der Saison schliessen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Den Entscheidungszeitpunkt in die Offerte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Den Informationsweg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Nach jeder Verlegung eine Notiz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Wissen wir, wie viele Anlässe im Freien wir in der letzten Saison verlegt haben?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Gibt es für jeden Ort im Freien einen festgelegten zweiten Ort mit Strom und Geschirr?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die Eigentümerschaft festgelegt, was bei einer Verlegung nicht verhandelbar ist?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in unseren Offerten, wer bis wann über eine Verlegung entscheidet?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Steht dort auch, was eine Verlegung kostet und wer es bezahlt?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Rahmenverträge für Geschirr, Strom und Transport auf Abruf?</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Erfährt der Nachtdienst von Lieferungen, die nachts ankommen?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Berichtigen wir Aussagen an Kunden und Gäste, wenn eine Änderung sie unwahr macht?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Den Ort regeln und den Rest offenlassen.</w:t>
      </w:r>
      <w:r>
        <w:t xml:space="preserve"> Strom, Geschirr und Wege ziehen mit, ob man sie geregelt hat oder nicht.</w:t>
      </w:r>
    </w:p>
    <w:p>
      <w:pPr>
        <w:tabs>
          <w:tab w:pos="340" w:val="left"/>
        </w:tabs>
        <w:ind w:left="340" w:hanging="340"/>
      </w:pPr>
      <w:r>
        <w:rPr>
          <w:color w:val="8C5A2B"/>
        </w:rPr>
        <w:t>–</w:t>
        <w:tab/>
      </w:r>
      <w:r>
        <w:rPr>
          <w:b/>
        </w:rPr>
        <w:t>Am Vortag entscheiden.</w:t>
      </w:r>
      <w:r>
        <w:t xml:space="preserve"> Dann wählt die Verfügbarkeit den Lieferanten.</w:t>
      </w:r>
    </w:p>
    <w:p>
      <w:pPr>
        <w:tabs>
          <w:tab w:pos="340" w:val="left"/>
        </w:tabs>
        <w:ind w:left="340" w:hanging="340"/>
      </w:pPr>
      <w:r>
        <w:rPr>
          <w:color w:val="8C5A2B"/>
        </w:rPr>
        <w:t>–</w:t>
        <w:tab/>
      </w:r>
      <w:r>
        <w:rPr>
          <w:b/>
        </w:rPr>
        <w:t>«Mehrkosten nach Aufwand» schreiben.</w:t>
      </w:r>
      <w:r>
        <w:t xml:space="preserve"> Der Streit über die Rechnung kommt mit Sicherheit.</w:t>
      </w:r>
    </w:p>
    <w:p>
      <w:pPr>
        <w:tabs>
          <w:tab w:pos="340" w:val="left"/>
        </w:tabs>
        <w:ind w:left="340" w:hanging="340"/>
      </w:pPr>
      <w:r>
        <w:rPr>
          <w:color w:val="8C5A2B"/>
        </w:rPr>
        <w:t>–</w:t>
        <w:tab/>
      </w:r>
      <w:r>
        <w:rPr>
          <w:b/>
        </w:rPr>
        <w:t>Das Versprechen an die Gäste vergessen.</w:t>
      </w:r>
      <w:r>
        <w:t xml:space="preserve"> Die Änderung bricht es, auch wenn niemand es so entschieden hat.</w:t>
      </w:r>
    </w:p>
    <w:p>
      <w:pPr>
        <w:tabs>
          <w:tab w:pos="340" w:val="left"/>
        </w:tabs>
        <w:ind w:left="340" w:hanging="340"/>
      </w:pPr>
      <w:r>
        <w:rPr>
          <w:color w:val="8C5A2B"/>
        </w:rPr>
        <w:t>–</w:t>
        <w:tab/>
      </w:r>
      <w:r>
        <w:rPr>
          <w:b/>
        </w:rPr>
        <w:t>Den Nachtdienst nicht informieren.</w:t>
      </w:r>
      <w:r>
        <w:t xml:space="preserve"> Er improvisiert dann selbst, und am Morgen sucht man.</w:t>
      </w:r>
    </w:p>
    <w:p>
      <w:pPr>
        <w:tabs>
          <w:tab w:pos="340" w:val="left"/>
        </w:tabs>
        <w:ind w:left="340" w:hanging="340"/>
      </w:pPr>
      <w:r>
        <w:rPr>
          <w:color w:val="8C5A2B"/>
        </w:rPr>
        <w:t>–</w:t>
        <w:tab/>
      </w:r>
      <w:r>
        <w:rPr>
          <w:b/>
        </w:rPr>
        <w:t>Die Nacht nicht aufschreiben.</w:t>
      </w:r>
      <w:r>
        <w:t xml:space="preserve"> Die Lehre bleibt bei dem, der improvisiert hat, und geht mit ihm.</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Notstromaggregat mit Transport und Treibstoff</w:t>
            </w:r>
          </w:p>
        </w:tc>
        <w:tc>
          <w:tcPr>
            <w:tcW w:type="dxa" w:w="1474"/>
          </w:tcPr>
          <w:p>
            <w:pPr>
              <w:spacing w:after="0" w:before="0"/>
            </w:pPr>
            <w:r/>
            <w:r>
              <w:rPr>
                <w:b w:val="0"/>
                <w:i w:val="0"/>
                <w:color w:val="1A1A1A"/>
                <w:sz w:val="18"/>
              </w:rPr>
              <w:t>CHF 2.600</w:t>
            </w:r>
          </w:p>
        </w:tc>
        <w:tc>
          <w:tcPr>
            <w:tcW w:type="dxa" w:w="3175"/>
          </w:tcPr>
          <w:p>
            <w:pPr>
              <w:spacing w:after="0" w:before="0"/>
            </w:pPr>
            <w:r/>
            <w:r>
              <w:rPr>
                <w:b w:val="0"/>
                <w:i w:val="0"/>
                <w:color w:val="1A1A1A"/>
                <w:sz w:val="18"/>
              </w:rPr>
              <w:t>Wochenende, kurzfristig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Einweggeschirr mit Expresszuschlag, Entsorgung</w:t>
            </w:r>
          </w:p>
        </w:tc>
        <w:tc>
          <w:tcPr>
            <w:tcW w:type="dxa" w:w="1474"/>
            <w:shd w:val="clear" w:color="auto" w:fill="F3EFE6"/>
          </w:tcPr>
          <w:p>
            <w:pPr>
              <w:spacing w:after="0" w:before="0"/>
            </w:pPr>
            <w:r/>
            <w:r>
              <w:rPr>
                <w:b w:val="0"/>
                <w:i w:val="0"/>
                <w:color w:val="1A1A1A"/>
                <w:sz w:val="18"/>
              </w:rPr>
              <w:t>CHF 1.390</w:t>
            </w:r>
          </w:p>
        </w:tc>
        <w:tc>
          <w:tcPr>
            <w:tcW w:type="dxa" w:w="3175"/>
            <w:shd w:val="clear" w:color="auto" w:fill="F3EFE6"/>
          </w:tcPr>
          <w:p>
            <w:pPr>
              <w:spacing w:after="0" w:before="0"/>
            </w:pPr>
            <w:r/>
            <w:r>
              <w:rPr>
                <w:b w:val="0"/>
                <w:i w:val="0"/>
                <w:color w:val="1A1A1A"/>
                <w:sz w:val="18"/>
              </w:rPr>
              <w:t>Ware 780, Express 450, Entsorgung 160</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Elektrotaxis auf Abruf</w:t>
            </w:r>
          </w:p>
        </w:tc>
        <w:tc>
          <w:tcPr>
            <w:tcW w:type="dxa" w:w="1474"/>
          </w:tcPr>
          <w:p>
            <w:pPr>
              <w:spacing w:after="0" w:before="0"/>
            </w:pPr>
            <w:r/>
            <w:r>
              <w:rPr>
                <w:b w:val="0"/>
                <w:i w:val="0"/>
                <w:color w:val="1A1A1A"/>
                <w:sz w:val="18"/>
              </w:rPr>
              <w:t>CHF 1.900</w:t>
            </w:r>
          </w:p>
        </w:tc>
        <w:tc>
          <w:tcPr>
            <w:tcW w:type="dxa" w:w="3175"/>
          </w:tcPr>
          <w:p>
            <w:pPr>
              <w:spacing w:after="0" w:before="0"/>
            </w:pPr>
            <w:r/>
            <w:r>
              <w:rPr>
                <w:b w:val="0"/>
                <w:i w:val="0"/>
                <w:color w:val="1A1A1A"/>
                <w:sz w:val="18"/>
              </w:rPr>
              <w:t>sechs Uhr abends bis halb zwei</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Mehrarbeit, 52 Stunden mit Zuschlägen</w:t>
            </w:r>
          </w:p>
        </w:tc>
        <w:tc>
          <w:tcPr>
            <w:tcW w:type="dxa" w:w="1474"/>
            <w:shd w:val="clear" w:color="auto" w:fill="F3EFE6"/>
          </w:tcPr>
          <w:p>
            <w:pPr>
              <w:spacing w:after="0" w:before="0"/>
            </w:pPr>
            <w:r/>
            <w:r>
              <w:rPr>
                <w:b w:val="0"/>
                <w:i w:val="0"/>
                <w:color w:val="1A1A1A"/>
                <w:sz w:val="18"/>
              </w:rPr>
              <w:t>CHF 2.640</w:t>
            </w:r>
          </w:p>
        </w:tc>
        <w:tc>
          <w:tcPr>
            <w:tcW w:type="dxa" w:w="3175"/>
            <w:shd w:val="clear" w:color="auto" w:fill="F3EFE6"/>
          </w:tcPr>
          <w:p>
            <w:pPr>
              <w:spacing w:after="0" w:before="0"/>
            </w:pPr>
            <w:r/>
            <w:r>
              <w:rPr>
                <w:b w:val="0"/>
                <w:i w:val="0"/>
                <w:color w:val="1A1A1A"/>
                <w:sz w:val="18"/>
              </w:rPr>
              <w:t>zwölf Mitarbeitende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Mehrkosten des Abends</w:t>
            </w:r>
          </w:p>
        </w:tc>
        <w:tc>
          <w:tcPr>
            <w:tcW w:type="dxa" w:w="1474"/>
          </w:tcPr>
          <w:p>
            <w:pPr>
              <w:spacing w:after="0" w:before="0"/>
            </w:pPr>
            <w:r/>
            <w:r>
              <w:rPr>
                <w:b w:val="0"/>
                <w:i w:val="0"/>
                <w:color w:val="1A1A1A"/>
                <w:sz w:val="18"/>
              </w:rPr>
              <w:t>CHF 8.530</w:t>
            </w:r>
          </w:p>
        </w:tc>
        <w:tc>
          <w:tcPr>
            <w:tcW w:type="dxa" w:w="3175"/>
          </w:tcPr>
          <w:p>
            <w:pPr>
              <w:spacing w:after="0" w:before="0"/>
            </w:pPr>
            <w:r/>
            <w:r>
              <w:rPr>
                <w:b w:val="0"/>
                <w:i w:val="0"/>
                <w:color w:val="1A1A1A"/>
                <w:sz w:val="18"/>
              </w:rPr>
              <w:t>davon vom Kunden strittig: die Hälfte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Pauschale für den zweiten Plan, bei Buchung vereinbart</w:t>
            </w:r>
          </w:p>
        </w:tc>
        <w:tc>
          <w:tcPr>
            <w:tcW w:type="dxa" w:w="1474"/>
            <w:shd w:val="clear" w:color="auto" w:fill="F3EFE6"/>
          </w:tcPr>
          <w:p>
            <w:pPr>
              <w:spacing w:after="0" w:before="0"/>
            </w:pPr>
            <w:r/>
            <w:r>
              <w:rPr>
                <w:b w:val="0"/>
                <w:i w:val="0"/>
                <w:color w:val="1A1A1A"/>
                <w:sz w:val="18"/>
              </w:rPr>
              <w:t>CHF 1.800</w:t>
            </w:r>
          </w:p>
        </w:tc>
        <w:tc>
          <w:tcPr>
            <w:tcW w:type="dxa" w:w="3175"/>
            <w:shd w:val="clear" w:color="auto" w:fill="F3EFE6"/>
          </w:tcPr>
          <w:p>
            <w:pPr>
              <w:spacing w:after="0" w:before="0"/>
            </w:pPr>
            <w:r/>
            <w:r>
              <w:rPr>
                <w:b w:val="0"/>
                <w:i w:val="0"/>
                <w:color w:val="1A1A1A"/>
                <w:sz w:val="18"/>
              </w:rPr>
              <w:t>Rahmenpreise, Entscheidung zwei Tage vorher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Blatt für den zweiten Plan erarbeiten</w:t>
            </w:r>
          </w:p>
        </w:tc>
        <w:tc>
          <w:tcPr>
            <w:tcW w:type="dxa" w:w="1474"/>
          </w:tcPr>
          <w:p>
            <w:pPr>
              <w:spacing w:after="0" w:before="0"/>
            </w:pPr>
            <w:r/>
            <w:r>
              <w:rPr>
                <w:b w:val="0"/>
                <w:i w:val="0"/>
                <w:color w:val="1A1A1A"/>
                <w:sz w:val="18"/>
              </w:rPr>
              <w:t>16 Stunden</w:t>
            </w:r>
          </w:p>
        </w:tc>
        <w:tc>
          <w:tcPr>
            <w:tcW w:type="dxa" w:w="3175"/>
          </w:tcPr>
          <w:p>
            <w:pPr>
              <w:spacing w:after="0" w:before="0"/>
            </w:pPr>
            <w:r/>
            <w:r>
              <w:rPr>
                <w:b w:val="0"/>
                <w:i w:val="0"/>
                <w:color w:val="1A1A1A"/>
                <w:sz w:val="18"/>
              </w:rPr>
              <w:t>einmalig, Bankettchef</w:t>
            </w:r>
          </w:p>
        </w:tc>
        <w:tc>
          <w:tcPr>
            <w:tcW w:type="dxa" w:w="1814"/>
          </w:tcPr>
          <w:p>
            <w:pPr>
              <w:spacing w:after="0" w:before="0"/>
            </w:pPr>
            <w:r/>
            <w:r>
              <w:rPr>
                <w:b w:val="0"/>
                <w:i w:val="0"/>
                <w:color w:val="1A1A1A"/>
                <w:sz w:val="18"/>
              </w:rPr>
            </w:r>
          </w:p>
        </w:tc>
      </w:tr>
    </w:tbl>
    <w:p>
      <w:pPr>
        <w:spacing w:after="40"/>
      </w:pPr>
    </w:p>
    <w:p>
      <w:r>
        <w:rPr>
          <w:b w:val="0"/>
          <w:i w:val="0"/>
        </w:rPr>
        <w:t>Die Rechnung vergleicht eine Nacht mit einem Blatt. Sie behauptet nicht, dass ein zweiter Plan alle Mehrkosten vermeidet: Auch ein Rahmenvertrag kostet, und eine Verlegung zwei Tage vorher kann einen schönen Abend verschenken. Sie zeigt, wo der Zuschlag der Eile liegt.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Änderungen am System geplant durchführen (6.3)</w:t>
            </w:r>
          </w:p>
        </w:tc>
        <w:tc>
          <w:tcPr>
            <w:tcW w:type="dxa" w:w="3175"/>
          </w:tcPr>
          <w:p>
            <w:pPr>
              <w:spacing w:after="0" w:before="0"/>
            </w:pPr>
            <w:r/>
            <w:r>
              <w:rPr>
                <w:b w:val="0"/>
                <w:i w:val="0"/>
                <w:color w:val="1A1A1A"/>
                <w:sz w:val="18"/>
              </w:rPr>
              <w:t>Beschluss mit Datum, Grund und Freigabe</w:t>
            </w:r>
          </w:p>
        </w:tc>
        <w:tc>
          <w:tcPr>
            <w:tcW w:type="dxa" w:w="3175"/>
          </w:tcPr>
          <w:p>
            <w:pPr>
              <w:spacing w:after="0" w:before="0"/>
            </w:pPr>
            <w:r/>
            <w:r>
              <w:rPr>
                <w:b w:val="0"/>
                <w:i w:val="0"/>
                <w:color w:val="1A1A1A"/>
                <w:sz w:val="18"/>
              </w:rPr>
              <w:t>Methode: ein Änderungsblatt</w:t>
            </w:r>
          </w:p>
        </w:tc>
      </w:tr>
      <w:tr>
        <w:trPr>
          <w:cantSplit w:val="true"/>
        </w:trPr>
        <w:tc>
          <w:tcPr>
            <w:tcW w:type="dxa" w:w="3288"/>
            <w:shd w:val="clear" w:color="auto" w:fill="F3EFE6"/>
          </w:tcPr>
          <w:p>
            <w:pPr>
              <w:spacing w:after="0" w:before="0"/>
            </w:pPr>
            <w:r/>
            <w:r>
              <w:rPr>
                <w:b w:val="0"/>
                <w:i w:val="0"/>
                <w:color w:val="1A1A1A"/>
                <w:sz w:val="18"/>
              </w:rPr>
              <w:t>Geplante Änderungen steuern, unbeabsichtigte überprüfen (8.1)</w:t>
            </w:r>
          </w:p>
        </w:tc>
        <w:tc>
          <w:tcPr>
            <w:tcW w:type="dxa" w:w="3175"/>
            <w:shd w:val="clear" w:color="auto" w:fill="F3EFE6"/>
          </w:tcPr>
          <w:p>
            <w:pPr>
              <w:spacing w:after="0" w:before="0"/>
            </w:pPr>
            <w:r/>
            <w:r>
              <w:rPr>
                <w:b w:val="0"/>
                <w:i w:val="0"/>
                <w:color w:val="1A1A1A"/>
                <w:sz w:val="18"/>
              </w:rPr>
              <w:t>Blatt für den zweiten Plan je Anlass im Freien</w:t>
            </w:r>
          </w:p>
        </w:tc>
        <w:tc>
          <w:tcPr>
            <w:tcW w:type="dxa" w:w="3175"/>
            <w:shd w:val="clear" w:color="auto" w:fill="F3EFE6"/>
          </w:tcPr>
          <w:p>
            <w:pPr>
              <w:spacing w:after="0" w:before="0"/>
            </w:pPr>
            <w:r/>
            <w:r>
              <w:rPr>
                <w:b w:val="0"/>
                <w:i w:val="0"/>
                <w:color w:val="1A1A1A"/>
                <w:sz w:val="18"/>
              </w:rPr>
              <w:t>A.17: Systeme wiederverwenden</w:t>
            </w:r>
          </w:p>
        </w:tc>
      </w:tr>
      <w:tr>
        <w:trPr>
          <w:cantSplit w:val="true"/>
        </w:trPr>
        <w:tc>
          <w:tcPr>
            <w:tcW w:type="dxa" w:w="3288"/>
          </w:tcPr>
          <w:p>
            <w:pPr>
              <w:spacing w:after="0" w:before="0"/>
            </w:pPr>
            <w:r/>
            <w:r>
              <w:rPr>
                <w:b w:val="0"/>
                <w:i w:val="0"/>
                <w:color w:val="1A1A1A"/>
                <w:sz w:val="18"/>
              </w:rPr>
              <w:t>Bei geänderten Umständen bestmögliche praktikable Lösung nach Leitbild und Politik (8.2)</w:t>
            </w:r>
          </w:p>
        </w:tc>
        <w:tc>
          <w:tcPr>
            <w:tcW w:type="dxa" w:w="3175"/>
          </w:tcPr>
          <w:p>
            <w:pPr>
              <w:spacing w:after="0" w:before="0"/>
            </w:pPr>
            <w:r/>
            <w:r>
              <w:rPr>
                <w:b w:val="0"/>
                <w:i w:val="0"/>
                <w:color w:val="1A1A1A"/>
                <w:sz w:val="18"/>
              </w:rPr>
              <w:t>Entscheidungsnotiz: was, warum, welcher Grundsatz</w:t>
            </w:r>
          </w:p>
        </w:tc>
        <w:tc>
          <w:tcPr>
            <w:tcW w:type="dxa" w:w="3175"/>
          </w:tcPr>
          <w:p>
            <w:pPr>
              <w:spacing w:after="0" w:before="0"/>
            </w:pPr>
            <w:r/>
            <w:r>
              <w:rPr>
                <w:b w:val="0"/>
                <w:i w:val="0"/>
                <w:color w:val="1A1A1A"/>
                <w:sz w:val="18"/>
              </w:rPr>
              <w:t>Methode: fester Entscheidungszeitpunkt</w:t>
            </w:r>
          </w:p>
        </w:tc>
      </w:tr>
      <w:tr>
        <w:trPr>
          <w:cantSplit w:val="true"/>
        </w:trPr>
        <w:tc>
          <w:tcPr>
            <w:tcW w:type="dxa" w:w="3288"/>
            <w:shd w:val="clear" w:color="auto" w:fill="F3EFE6"/>
          </w:tcPr>
          <w:p>
            <w:pPr>
              <w:spacing w:after="0" w:before="0"/>
            </w:pPr>
            <w:r/>
            <w:r>
              <w:rPr>
                <w:b w:val="0"/>
                <w:i w:val="0"/>
                <w:color w:val="1A1A1A"/>
                <w:sz w:val="18"/>
              </w:rPr>
              <w:t>Entscheidungen überwachen, bewerten; Lehren an die Managementbewertung (8.2)</w:t>
            </w:r>
          </w:p>
        </w:tc>
        <w:tc>
          <w:tcPr>
            <w:tcW w:type="dxa" w:w="3175"/>
            <w:shd w:val="clear" w:color="auto" w:fill="F3EFE6"/>
          </w:tcPr>
          <w:p>
            <w:pPr>
              <w:spacing w:after="0" w:before="0"/>
            </w:pPr>
            <w:r/>
            <w:r>
              <w:rPr>
                <w:b w:val="0"/>
                <w:i w:val="0"/>
                <w:color w:val="1A1A1A"/>
                <w:sz w:val="18"/>
              </w:rPr>
              <w:t>Liste der Änderungen je Anlass in der Bewertung</w:t>
            </w:r>
          </w:p>
        </w:tc>
        <w:tc>
          <w:tcPr>
            <w:tcW w:type="dxa" w:w="3175"/>
            <w:shd w:val="clear" w:color="auto" w:fill="F3EFE6"/>
          </w:tcPr>
          <w:p>
            <w:pPr>
              <w:spacing w:after="0" w:before="0"/>
            </w:pPr>
            <w:r/>
            <w:r>
              <w:rPr>
                <w:b w:val="0"/>
                <w:i w:val="0"/>
                <w:color w:val="1A1A1A"/>
                <w:sz w:val="18"/>
              </w:rPr>
              <w:t>A.22: Bewertung muss nicht warten</w:t>
            </w:r>
          </w:p>
        </w:tc>
      </w:tr>
      <w:tr>
        <w:trPr>
          <w:cantSplit w:val="true"/>
        </w:trPr>
        <w:tc>
          <w:tcPr>
            <w:tcW w:type="dxa" w:w="3288"/>
          </w:tcPr>
          <w:p>
            <w:pPr>
              <w:spacing w:after="0" w:before="0"/>
            </w:pPr>
            <w:r/>
            <w:r>
              <w:rPr>
                <w:b w:val="0"/>
                <w:i w:val="0"/>
                <w:color w:val="1A1A1A"/>
                <w:sz w:val="18"/>
              </w:rPr>
              <w:t>Lehren aus jeder Veranstaltung in die Planung (9.1 c)</w:t>
            </w:r>
          </w:p>
        </w:tc>
        <w:tc>
          <w:tcPr>
            <w:tcW w:type="dxa" w:w="3175"/>
          </w:tcPr>
          <w:p>
            <w:pPr>
              <w:spacing w:after="0" w:before="0"/>
            </w:pPr>
            <w:r/>
            <w:r>
              <w:rPr>
                <w:b w:val="0"/>
                <w:i w:val="0"/>
                <w:color w:val="1A1A1A"/>
                <w:sz w:val="18"/>
              </w:rPr>
              <w:t>geänderte Offertvorlage, neuer Rahmenvertrag</w:t>
            </w:r>
          </w:p>
        </w:tc>
        <w:tc>
          <w:tcPr>
            <w:tcW w:type="dxa" w:w="3175"/>
          </w:tcPr>
          <w:p>
            <w:pPr>
              <w:spacing w:after="0" w:before="0"/>
            </w:pPr>
            <w:r/>
            <w:r>
              <w:rPr>
                <w:b w:val="0"/>
                <w:i w:val="0"/>
                <w:color w:val="1A1A1A"/>
                <w:sz w:val="18"/>
              </w:rPr>
              <w:t>Methode: Kostenrechnung der Improvisation</w:t>
            </w:r>
          </w:p>
        </w:tc>
      </w:tr>
      <w:tr>
        <w:trPr>
          <w:cantSplit w:val="true"/>
        </w:trPr>
        <w:tc>
          <w:tcPr>
            <w:tcW w:type="dxa" w:w="3288"/>
            <w:shd w:val="clear" w:color="auto" w:fill="F3EFE6"/>
          </w:tcPr>
          <w:p>
            <w:pPr>
              <w:spacing w:after="0" w:before="0"/>
            </w:pPr>
            <w:r/>
            <w:r>
              <w:rPr>
                <w:b w:val="0"/>
                <w:i w:val="0"/>
                <w:color w:val="1A1A1A"/>
                <w:sz w:val="18"/>
              </w:rPr>
              <w:t>Abstände passend zu Häufigkeit und Grösse (9.3.3)</w:t>
            </w:r>
          </w:p>
        </w:tc>
        <w:tc>
          <w:tcPr>
            <w:tcW w:type="dxa" w:w="3175"/>
            <w:shd w:val="clear" w:color="auto" w:fill="F3EFE6"/>
          </w:tcPr>
          <w:p>
            <w:pPr>
              <w:spacing w:after="0" w:before="0"/>
            </w:pPr>
            <w:r/>
            <w:r>
              <w:rPr>
                <w:b w:val="0"/>
                <w:i w:val="0"/>
                <w:color w:val="1A1A1A"/>
                <w:sz w:val="18"/>
              </w:rPr>
              <w:t>Termine der Bewertung im Jahresplan</w:t>
            </w:r>
          </w:p>
        </w:tc>
        <w:tc>
          <w:tcPr>
            <w:tcW w:type="dxa" w:w="3175"/>
            <w:shd w:val="clear" w:color="auto" w:fill="F3EFE6"/>
          </w:tcPr>
          <w:p>
            <w:pPr>
              <w:spacing w:after="0" w:before="0"/>
            </w:pPr>
            <w:r/>
            <w:r>
              <w:rPr>
                <w:b w:val="0"/>
                <w:i w:val="0"/>
                <w:color w:val="1A1A1A"/>
                <w:sz w:val="18"/>
              </w:rPr>
              <w:t>Methode: Bewertung nach jeder Saison</w:t>
            </w:r>
          </w:p>
        </w:tc>
      </w:tr>
    </w:tbl>
    <w:p>
      <w:pPr>
        <w:spacing w:after="40"/>
      </w:pPr>
    </w:p>
    <w:p>
      <w:pPr>
        <w:pStyle w:val="Heading2"/>
      </w:pPr>
      <w:r>
        <w:t>DACH-Anker: was bei einer Verlegung mitzieht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Einwegteller und -besteck aus Kunststoff</w:t>
            </w:r>
          </w:p>
        </w:tc>
        <w:tc>
          <w:tcPr>
            <w:tcW w:type="dxa" w:w="2721"/>
          </w:tcPr>
          <w:p>
            <w:pPr>
              <w:spacing w:after="0" w:before="0"/>
            </w:pPr>
            <w:r/>
            <w:r>
              <w:rPr>
                <w:b w:val="0"/>
                <w:i w:val="0"/>
                <w:color w:val="1A1A1A"/>
                <w:sz w:val="17"/>
              </w:rPr>
              <w:t>Inverkehrbringen verboten (§ 3 Einwegkunststoffverbotsverordnung)</w:t>
            </w:r>
          </w:p>
        </w:tc>
        <w:tc>
          <w:tcPr>
            <w:tcW w:type="dxa" w:w="2721"/>
          </w:tcPr>
          <w:p>
            <w:pPr>
              <w:spacing w:after="0" w:before="0"/>
            </w:pPr>
            <w:r/>
            <w:r>
              <w:rPr>
                <w:b w:val="0"/>
                <w:i w:val="0"/>
                <w:color w:val="1A1A1A"/>
                <w:sz w:val="17"/>
              </w:rPr>
              <w:t>Inverkehrbringen verboten seit Dezember 2021 (§ 13n Abfallwirtschaftsgesetz 2002)</w:t>
            </w:r>
          </w:p>
        </w:tc>
        <w:tc>
          <w:tcPr>
            <w:tcW w:type="dxa" w:w="2721"/>
          </w:tcPr>
          <w:p>
            <w:pPr>
              <w:spacing w:after="0" w:before="0"/>
            </w:pPr>
            <w:r/>
            <w:r>
              <w:rPr>
                <w:b w:val="0"/>
                <w:i w:val="0"/>
                <w:color w:val="1A1A1A"/>
                <w:sz w:val="17"/>
              </w:rPr>
              <w:t>kein Verbot des Bundes</w:t>
            </w:r>
          </w:p>
        </w:tc>
      </w:tr>
      <w:tr>
        <w:trPr>
          <w:cantSplit w:val="true"/>
        </w:trPr>
        <w:tc>
          <w:tcPr>
            <w:tcW w:type="dxa" w:w="1474"/>
            <w:shd w:val="clear" w:color="auto" w:fill="F3EFE6"/>
          </w:tcPr>
          <w:p>
            <w:pPr>
              <w:spacing w:after="0" w:before="0"/>
            </w:pPr>
            <w:r/>
            <w:r>
              <w:rPr>
                <w:b w:val="0"/>
                <w:i w:val="0"/>
                <w:color w:val="1A1A1A"/>
                <w:sz w:val="17"/>
              </w:rPr>
              <w:t>Aussage über das Fest, die nicht mehr stimmt</w:t>
            </w:r>
          </w:p>
        </w:tc>
        <w:tc>
          <w:tcPr>
            <w:tcW w:type="dxa" w:w="2721"/>
            <w:shd w:val="clear" w:color="auto" w:fill="F3EFE6"/>
          </w:tcPr>
          <w:p>
            <w:pPr>
              <w:spacing w:after="0" w:before="0"/>
            </w:pPr>
            <w:r/>
            <w:r>
              <w:rPr>
                <w:b w:val="0"/>
                <w:i w:val="0"/>
                <w:color w:val="1A1A1A"/>
                <w:sz w:val="17"/>
              </w:rPr>
              <w:t>UWG, Regeln zu Umweltaussagen gegenüber Verbrauchern ab 27. September 2026</w:t>
            </w:r>
          </w:p>
        </w:tc>
        <w:tc>
          <w:tcPr>
            <w:tcW w:type="dxa" w:w="2721"/>
            <w:shd w:val="clear" w:color="auto" w:fill="F3EFE6"/>
          </w:tcPr>
          <w:p>
            <w:pPr>
              <w:spacing w:after="0" w:before="0"/>
            </w:pPr>
            <w:r/>
            <w:r>
              <w:rPr>
                <w:b w:val="0"/>
                <w:i w:val="0"/>
                <w:color w:val="1A1A1A"/>
                <w:sz w:val="17"/>
              </w:rPr>
              <w:t>UWG-Novelle BGBl. I Nr. 58/2026, gegenüber Verbrauchern ab 27. September 2026</w:t>
            </w:r>
          </w:p>
        </w:tc>
        <w:tc>
          <w:tcPr>
            <w:tcW w:type="dxa" w:w="2721"/>
            <w:shd w:val="clear" w:color="auto" w:fill="F3EFE6"/>
          </w:tcPr>
          <w:p>
            <w:pPr>
              <w:spacing w:after="0" w:before="0"/>
            </w:pPr>
            <w:r/>
            <w:r>
              <w:rPr>
                <w:b w:val="0"/>
                <w:i w:val="0"/>
                <w:color w:val="1A1A1A"/>
                <w:sz w:val="17"/>
              </w:rPr>
              <w:t>UWG Art. 3 Abs. 1 lit. b; Klimaaussagen lit. x, seit 1. Januar 2025</w:t>
            </w:r>
          </w:p>
        </w:tc>
      </w:tr>
      <w:tr>
        <w:trPr>
          <w:cantSplit w:val="true"/>
        </w:trPr>
        <w:tc>
          <w:tcPr>
            <w:tcW w:type="dxa" w:w="1474"/>
          </w:tcPr>
          <w:p>
            <w:pPr>
              <w:spacing w:after="0" w:before="0"/>
            </w:pPr>
            <w:r/>
            <w:r>
              <w:rPr>
                <w:b w:val="0"/>
                <w:i w:val="0"/>
                <w:color w:val="1A1A1A"/>
                <w:sz w:val="17"/>
              </w:rPr>
              <w:t>Personen im Saal statt im Freien</w:t>
            </w:r>
          </w:p>
        </w:tc>
        <w:tc>
          <w:tcPr>
            <w:tcW w:type="dxa" w:w="2721"/>
          </w:tcPr>
          <w:p>
            <w:pPr>
              <w:spacing w:after="0" w:before="0"/>
            </w:pPr>
            <w:r/>
            <w:r>
              <w:rPr>
                <w:b w:val="0"/>
                <w:i w:val="0"/>
                <w:color w:val="1A1A1A"/>
                <w:sz w:val="17"/>
              </w:rPr>
              <w:t>Versammlungsstättenrecht der Länder</w:t>
            </w:r>
          </w:p>
        </w:tc>
        <w:tc>
          <w:tcPr>
            <w:tcW w:type="dxa" w:w="2721"/>
          </w:tcPr>
          <w:p>
            <w:pPr>
              <w:spacing w:after="0" w:before="0"/>
            </w:pPr>
            <w:r/>
            <w:r>
              <w:rPr>
                <w:b w:val="0"/>
                <w:i w:val="0"/>
                <w:color w:val="1A1A1A"/>
                <w:sz w:val="17"/>
              </w:rPr>
              <w:t>Veranstaltungsrecht der Länder</w:t>
            </w:r>
          </w:p>
        </w:tc>
        <w:tc>
          <w:tcPr>
            <w:tcW w:type="dxa" w:w="2721"/>
          </w:tcPr>
          <w:p>
            <w:pPr>
              <w:spacing w:after="0" w:before="0"/>
            </w:pPr>
            <w:r/>
            <w:r>
              <w:rPr>
                <w:b w:val="0"/>
                <w:i w:val="0"/>
                <w:color w:val="1A1A1A"/>
                <w:sz w:val="17"/>
              </w:rPr>
              <w:t>kantonales Brandschutzrecht</w:t>
            </w:r>
          </w:p>
        </w:tc>
      </w:tr>
      <w:tr>
        <w:trPr>
          <w:cantSplit w:val="true"/>
        </w:trPr>
        <w:tc>
          <w:tcPr>
            <w:tcW w:type="dxa" w:w="1474"/>
            <w:shd w:val="clear" w:color="auto" w:fill="F3EFE6"/>
          </w:tcPr>
          <w:p>
            <w:pPr>
              <w:spacing w:after="0" w:before="0"/>
            </w:pPr>
            <w:r/>
            <w:r>
              <w:rPr>
                <w:b w:val="0"/>
                <w:i w:val="0"/>
                <w:color w:val="1A1A1A"/>
                <w:sz w:val="17"/>
              </w:rPr>
              <w:t>Mehrarbeit in der Nacht</w:t>
            </w:r>
          </w:p>
        </w:tc>
        <w:tc>
          <w:tcPr>
            <w:tcW w:type="dxa" w:w="2721"/>
            <w:shd w:val="clear" w:color="auto" w:fill="F3EFE6"/>
          </w:tcPr>
          <w:p>
            <w:pPr>
              <w:spacing w:after="0" w:before="0"/>
            </w:pPr>
            <w:r/>
            <w:r>
              <w:rPr>
                <w:b w:val="0"/>
                <w:i w:val="0"/>
                <w:color w:val="1A1A1A"/>
                <w:sz w:val="17"/>
              </w:rPr>
              <w:t>Arbeitszeitgesetz (1.12)</w:t>
            </w:r>
          </w:p>
        </w:tc>
        <w:tc>
          <w:tcPr>
            <w:tcW w:type="dxa" w:w="2721"/>
            <w:shd w:val="clear" w:color="auto" w:fill="F3EFE6"/>
          </w:tcPr>
          <w:p>
            <w:pPr>
              <w:spacing w:after="0" w:before="0"/>
            </w:pPr>
            <w:r/>
            <w:r>
              <w:rPr>
                <w:b w:val="0"/>
                <w:i w:val="0"/>
                <w:color w:val="1A1A1A"/>
                <w:sz w:val="17"/>
              </w:rPr>
              <w:t>Arbeitszeitgesetz (1.12)</w:t>
            </w:r>
          </w:p>
        </w:tc>
        <w:tc>
          <w:tcPr>
            <w:tcW w:type="dxa" w:w="2721"/>
            <w:shd w:val="clear" w:color="auto" w:fill="F3EFE6"/>
          </w:tcPr>
          <w:p>
            <w:pPr>
              <w:spacing w:after="0" w:before="0"/>
            </w:pPr>
            <w:r/>
            <w:r>
              <w:rPr>
                <w:b w:val="0"/>
                <w:i w:val="0"/>
                <w:color w:val="1A1A1A"/>
                <w:sz w:val="17"/>
              </w:rPr>
              <w:t>Arbeitsgesetz und Gesamtarbeitsvertrag des Gastgewerbes (1.12)</w:t>
            </w:r>
          </w:p>
        </w:tc>
      </w:tr>
      <w:tr>
        <w:trPr>
          <w:cantSplit w:val="true"/>
        </w:trPr>
        <w:tc>
          <w:tcPr>
            <w:tcW w:type="dxa" w:w="1474"/>
          </w:tcPr>
          <w:p>
            <w:pPr>
              <w:spacing w:after="0" w:before="0"/>
            </w:pPr>
            <w:r/>
            <w:r>
              <w:rPr>
                <w:b w:val="0"/>
                <w:i w:val="0"/>
                <w:color w:val="1A1A1A"/>
                <w:sz w:val="17"/>
              </w:rPr>
              <w:t>Aggregat und Lärm bis in die Nacht</w:t>
            </w:r>
          </w:p>
        </w:tc>
        <w:tc>
          <w:tcPr>
            <w:tcW w:type="dxa" w:w="2721"/>
          </w:tcPr>
          <w:p>
            <w:pPr>
              <w:spacing w:after="0" w:before="0"/>
            </w:pPr>
            <w:r/>
            <w:r>
              <w:rPr>
                <w:b w:val="0"/>
                <w:i w:val="0"/>
                <w:color w:val="1A1A1A"/>
                <w:sz w:val="17"/>
              </w:rPr>
              <w:t>Immissionsschutzrecht, örtliche Regeln</w:t>
            </w:r>
          </w:p>
        </w:tc>
        <w:tc>
          <w:tcPr>
            <w:tcW w:type="dxa" w:w="2721"/>
          </w:tcPr>
          <w:p>
            <w:pPr>
              <w:spacing w:after="0" w:before="0"/>
            </w:pPr>
            <w:r/>
            <w:r>
              <w:rPr>
                <w:b w:val="0"/>
                <w:i w:val="0"/>
                <w:color w:val="1A1A1A"/>
                <w:sz w:val="17"/>
              </w:rPr>
              <w:t>Landesrecht, örtliche Regeln</w:t>
            </w:r>
          </w:p>
        </w:tc>
        <w:tc>
          <w:tcPr>
            <w:tcW w:type="dxa" w:w="2721"/>
          </w:tcPr>
          <w:p>
            <w:pPr>
              <w:spacing w:after="0" w:before="0"/>
            </w:pPr>
            <w:r/>
            <w:r>
              <w:rPr>
                <w:b w:val="0"/>
                <w:i w:val="0"/>
                <w:color w:val="1A1A1A"/>
                <w:sz w:val="17"/>
              </w:rPr>
              <w:t>Umweltschutzrecht, Polizeireglement der Gemeinde</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1.13.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1.13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1.13 — Den zweiten Plan aufsetzen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