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1.14</w:t>
      </w:r>
    </w:p>
    <w:p>
      <w:pPr>
        <w:pStyle w:val="Heading1"/>
      </w:pPr>
      <w:r>
        <w:t>Den Anwendungsbereich festlegen</w:t>
      </w:r>
    </w:p>
    <w:p>
      <w:pPr>
        <w:spacing w:after="0"/>
      </w:pPr>
      <w:r>
        <w:rPr>
          <w:b w:val="0"/>
          <w:i/>
          <w:color w:val="5A5A5A"/>
        </w:rPr>
        <w:t>Abschnitt 1.14 · Vom Projekt zum System: Anwendungsbereich und Aufbau</w:t>
      </w:r>
    </w:p>
    <w:p>
      <w:pPr>
        <w:spacing w:after="160"/>
      </w:pPr>
      <w:r>
        <w:rPr>
          <w:b w:val="0"/>
          <w:i w:val="0"/>
          <w:color w:val="5A5A5A"/>
          <w:sz w:val="18"/>
        </w:rPr>
        <w:t>Modellfall im Buch: Hamburg</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morgen ein Kunde fragt, für welche Ihrer Veranstaltungen Ihre Nachhaltigkeitsaussagen gelten: Können Sie die Grenze ziehen, ohne nachzudenken? Und hält Ihr Haus an einem gewöhnlichen Dienstag, was es bei seinem besten Fest gezeigt hat?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Drei Seiten der Grenze, in Hamburg entschieden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Seite</w:t>
            </w:r>
          </w:p>
        </w:tc>
        <w:tc>
          <w:tcPr>
            <w:tcW w:type="dxa" w:w="3213"/>
            <w:shd w:val="clear" w:color="auto" w:fill="8C5A2B"/>
          </w:tcPr>
          <w:p>
            <w:pPr>
              <w:spacing w:after="0" w:before="0"/>
            </w:pPr>
            <w:r/>
            <w:r>
              <w:rPr>
                <w:b/>
                <w:i w:val="0"/>
                <w:color w:val="FFFFFF"/>
                <w:sz w:val="18"/>
              </w:rPr>
              <w:t>Frage</w:t>
            </w:r>
          </w:p>
        </w:tc>
        <w:tc>
          <w:tcPr>
            <w:tcW w:type="dxa" w:w="3213"/>
            <w:shd w:val="clear" w:color="auto" w:fill="8C5A2B"/>
          </w:tcPr>
          <w:p>
            <w:pPr>
              <w:spacing w:after="0" w:before="0"/>
            </w:pPr>
            <w:r/>
            <w:r>
              <w:rPr>
                <w:b/>
                <w:i w:val="0"/>
                <w:color w:val="FFFFFF"/>
                <w:sz w:val="18"/>
              </w:rPr>
              <w:t>Entscheidung im Haus an der Elbe</w:t>
            </w:r>
          </w:p>
        </w:tc>
      </w:tr>
      <w:tr>
        <w:trPr>
          <w:cantSplit w:val="true"/>
        </w:trPr>
        <w:tc>
          <w:tcPr>
            <w:tcW w:type="dxa" w:w="3213"/>
          </w:tcPr>
          <w:p>
            <w:pPr>
              <w:spacing w:after="0" w:before="0"/>
            </w:pPr>
            <w:r/>
            <w:r>
              <w:rPr>
                <w:b w:val="0"/>
                <w:i w:val="0"/>
                <w:color w:val="1A1A1A"/>
                <w:sz w:val="18"/>
              </w:rPr>
              <w:t>Arten von Veranstaltungen</w:t>
            </w:r>
          </w:p>
        </w:tc>
        <w:tc>
          <w:tcPr>
            <w:tcW w:type="dxa" w:w="3213"/>
          </w:tcPr>
          <w:p>
            <w:pPr>
              <w:spacing w:after="0" w:before="0"/>
            </w:pPr>
            <w:r/>
            <w:r>
              <w:rPr>
                <w:b w:val="0"/>
                <w:i w:val="0"/>
                <w:color w:val="1A1A1A"/>
                <w:sz w:val="18"/>
              </w:rPr>
              <w:t>welche Veranstaltungen?</w:t>
            </w:r>
          </w:p>
        </w:tc>
        <w:tc>
          <w:tcPr>
            <w:tcW w:type="dxa" w:w="3213"/>
          </w:tcPr>
          <w:p>
            <w:pPr>
              <w:spacing w:after="0" w:before="0"/>
            </w:pPr>
            <w:r/>
            <w:r>
              <w:rPr>
                <w:b w:val="0"/>
                <w:i w:val="0"/>
                <w:color w:val="1A1A1A"/>
                <w:sz w:val="18"/>
              </w:rPr>
              <w:t>Tagungen, eigene Formate; Hochzeiten ab dem zweiten Jahr</w:t>
            </w:r>
          </w:p>
        </w:tc>
      </w:tr>
      <w:tr>
        <w:trPr>
          <w:cantSplit w:val="true"/>
        </w:trPr>
        <w:tc>
          <w:tcPr>
            <w:tcW w:type="dxa" w:w="3213"/>
            <w:shd w:val="clear" w:color="auto" w:fill="F3EFE6"/>
          </w:tcPr>
          <w:p>
            <w:pPr>
              <w:spacing w:after="0" w:before="0"/>
            </w:pPr>
            <w:r/>
            <w:r>
              <w:rPr>
                <w:b w:val="0"/>
                <w:i w:val="0"/>
                <w:color w:val="1A1A1A"/>
                <w:sz w:val="18"/>
              </w:rPr>
              <w:t>Leistungen des Hauses</w:t>
            </w:r>
          </w:p>
        </w:tc>
        <w:tc>
          <w:tcPr>
            <w:tcW w:type="dxa" w:w="3213"/>
            <w:shd w:val="clear" w:color="auto" w:fill="F3EFE6"/>
          </w:tcPr>
          <w:p>
            <w:pPr>
              <w:spacing w:after="0" w:before="0"/>
            </w:pPr>
            <w:r/>
            <w:r>
              <w:rPr>
                <w:b w:val="0"/>
                <w:i w:val="0"/>
                <w:color w:val="1A1A1A"/>
                <w:sz w:val="18"/>
              </w:rPr>
              <w:t>welche Leistungen?</w:t>
            </w:r>
          </w:p>
        </w:tc>
        <w:tc>
          <w:tcPr>
            <w:tcW w:type="dxa" w:w="3213"/>
            <w:shd w:val="clear" w:color="auto" w:fill="F3EFE6"/>
          </w:tcPr>
          <w:p>
            <w:pPr>
              <w:spacing w:after="0" w:before="0"/>
            </w:pPr>
            <w:r/>
            <w:r>
              <w:rPr>
                <w:b w:val="0"/>
                <w:i w:val="0"/>
                <w:color w:val="1A1A1A"/>
                <w:sz w:val="18"/>
              </w:rPr>
              <w:t>Räume, Bankett, Technik, Teilnehmerzimmer; was Agenturen selbst mitbringen, nicht im System, Schnittstellen aber bewertet</w:t>
            </w:r>
          </w:p>
        </w:tc>
      </w:tr>
      <w:tr>
        <w:trPr>
          <w:cantSplit w:val="true"/>
        </w:trPr>
        <w:tc>
          <w:tcPr>
            <w:tcW w:type="dxa" w:w="3213"/>
          </w:tcPr>
          <w:p>
            <w:pPr>
              <w:spacing w:after="0" w:before="0"/>
            </w:pPr>
            <w:r/>
            <w:r>
              <w:rPr>
                <w:b w:val="0"/>
                <w:i w:val="0"/>
                <w:color w:val="1A1A1A"/>
                <w:sz w:val="18"/>
              </w:rPr>
              <w:t>Phasen des Zyklus</w:t>
            </w:r>
          </w:p>
        </w:tc>
        <w:tc>
          <w:tcPr>
            <w:tcW w:type="dxa" w:w="3213"/>
          </w:tcPr>
          <w:p>
            <w:pPr>
              <w:spacing w:after="0" w:before="0"/>
            </w:pPr>
            <w:r/>
            <w:r>
              <w:rPr>
                <w:b w:val="0"/>
                <w:i w:val="0"/>
                <w:color w:val="1A1A1A"/>
                <w:sz w:val="18"/>
              </w:rPr>
              <w:t>ab wann, bis wann?</w:t>
            </w:r>
          </w:p>
        </w:tc>
        <w:tc>
          <w:tcPr>
            <w:tcW w:type="dxa" w:w="3213"/>
          </w:tcPr>
          <w:p>
            <w:pPr>
              <w:spacing w:after="0" w:before="0"/>
            </w:pPr>
            <w:r/>
            <w:r>
              <w:rPr>
                <w:b w:val="0"/>
                <w:i w:val="0"/>
                <w:color w:val="1A1A1A"/>
                <w:sz w:val="18"/>
              </w:rPr>
              <w:t>von der Anfrage bis zur Auswertung nach der Veranstaltung</w:t>
            </w:r>
          </w:p>
        </w:tc>
      </w:tr>
      <w:tr>
        <w:trPr>
          <w:cantSplit w:val="true"/>
        </w:trPr>
        <w:tc>
          <w:tcPr>
            <w:tcW w:type="dxa" w:w="3213"/>
            <w:shd w:val="clear" w:color="auto" w:fill="F3EFE6"/>
          </w:tcPr>
          <w:p>
            <w:pPr>
              <w:spacing w:after="0" w:before="0"/>
            </w:pPr>
            <w:r/>
            <w:r>
              <w:rPr>
                <w:b w:val="0"/>
                <w:i w:val="0"/>
                <w:color w:val="1A1A1A"/>
                <w:sz w:val="18"/>
              </w:rPr>
              <w:t>Ort</w:t>
            </w:r>
          </w:p>
        </w:tc>
        <w:tc>
          <w:tcPr>
            <w:tcW w:type="dxa" w:w="3213"/>
            <w:shd w:val="clear" w:color="auto" w:fill="F3EFE6"/>
          </w:tcPr>
          <w:p>
            <w:pPr>
              <w:spacing w:after="0" w:before="0"/>
            </w:pPr>
            <w:r/>
            <w:r>
              <w:rPr>
                <w:b w:val="0"/>
                <w:i w:val="0"/>
                <w:color w:val="1A1A1A"/>
                <w:sz w:val="18"/>
              </w:rPr>
              <w:t>wo?</w:t>
            </w:r>
          </w:p>
        </w:tc>
        <w:tc>
          <w:tcPr>
            <w:tcW w:type="dxa" w:w="3213"/>
            <w:shd w:val="clear" w:color="auto" w:fill="F3EFE6"/>
          </w:tcPr>
          <w:p>
            <w:pPr>
              <w:spacing w:after="0" w:before="0"/>
            </w:pPr>
            <w:r/>
            <w:r>
              <w:rPr>
                <w:b w:val="0"/>
                <w:i w:val="0"/>
                <w:color w:val="1A1A1A"/>
                <w:sz w:val="18"/>
              </w:rPr>
              <w:t>Eventetage, Terrasse, Restaurant bei geschlossenen Gesellschaften</w:t>
            </w:r>
          </w:p>
        </w:tc>
      </w:tr>
      <w:tr>
        <w:trPr>
          <w:cantSplit w:val="true"/>
        </w:trPr>
        <w:tc>
          <w:tcPr>
            <w:tcW w:type="dxa" w:w="3213"/>
          </w:tcPr>
          <w:p>
            <w:pPr>
              <w:spacing w:after="0" w:before="0"/>
            </w:pPr>
            <w:r/>
            <w:r>
              <w:rPr>
                <w:b w:val="0"/>
                <w:i w:val="0"/>
                <w:color w:val="1A1A1A"/>
                <w:sz w:val="18"/>
              </w:rPr>
              <w:t>Nachweis</w:t>
            </w:r>
          </w:p>
        </w:tc>
        <w:tc>
          <w:tcPr>
            <w:tcW w:type="dxa" w:w="3213"/>
          </w:tcPr>
          <w:p>
            <w:pPr>
              <w:spacing w:after="0" w:before="0"/>
            </w:pPr>
            <w:r/>
            <w:r>
              <w:rPr>
                <w:b w:val="0"/>
                <w:i w:val="0"/>
                <w:color w:val="1A1A1A"/>
                <w:sz w:val="18"/>
              </w:rPr>
              <w:t>wer bestätigt?</w:t>
            </w:r>
          </w:p>
        </w:tc>
        <w:tc>
          <w:tcPr>
            <w:tcW w:type="dxa" w:w="3213"/>
          </w:tcPr>
          <w:p>
            <w:pPr>
              <w:spacing w:after="0" w:before="0"/>
            </w:pPr>
            <w:r/>
            <w:r>
              <w:rPr>
                <w:b w:val="0"/>
                <w:i w:val="0"/>
                <w:color w:val="1A1A1A"/>
                <w:sz w:val="18"/>
              </w:rPr>
              <w:t>erst Selbsterklärung, dann Kunde, Zertifizierung offen</w:t>
            </w:r>
          </w:p>
        </w:tc>
      </w:tr>
    </w:tbl>
    <w:p>
      <w:pPr>
        <w:spacing w:after="40"/>
      </w:pPr>
    </w:p>
    <w:p>
      <w:pPr>
        <w:pStyle w:val="Heading2"/>
      </w:pPr>
      <w:r>
        <w:t>Praktische Anwendung: den Anwendungsbereich in sieben Schritten festlegen</w:t>
      </w:r>
    </w:p>
    <w:p>
      <w:pPr>
        <w:tabs>
          <w:tab w:pos="340" w:val="left"/>
        </w:tabs>
        <w:ind w:left="340" w:hanging="340"/>
      </w:pPr>
      <w:r>
        <w:rPr>
          <w:b/>
          <w:color w:val="8C5A2B"/>
        </w:rPr>
        <w:t>1.</w:t>
        <w:tab/>
      </w:r>
      <w:r>
        <w:rPr>
          <w:b/>
        </w:rPr>
        <w:t>Die Veranstaltungen eines Jahres zählen.</w:t>
      </w:r>
      <w:r>
        <w:t xml:space="preserve"> Nach Arten, mit Zahl, Umsatz und Rolle des Hauses: Veranstaltungsort, Lieferant, Veranstalter. Die Liste zeigt, was das gewöhnliche Geschäft ist.</w:t>
      </w:r>
    </w:p>
    <w:p>
      <w:pPr>
        <w:tabs>
          <w:tab w:pos="340" w:val="left"/>
        </w:tabs>
        <w:ind w:left="340" w:hanging="340"/>
      </w:pPr>
      <w:r>
        <w:rPr>
          <w:b/>
          <w:color w:val="8C5A2B"/>
        </w:rPr>
        <w:t>2.</w:t>
        <w:tab/>
      </w:r>
      <w:r>
        <w:rPr>
          <w:b/>
        </w:rPr>
        <w:t>Je Art klären, was das Haus steuert.</w:t>
      </w:r>
      <w:r>
        <w:t xml:space="preserve"> Räume, Küche, Technik, Personal, fremde Dienstleister. Wo das Haus nur Räume stellt, steuert es wenig und beeinflusst vielleicht viel.</w:t>
      </w:r>
    </w:p>
    <w:p>
      <w:pPr>
        <w:tabs>
          <w:tab w:pos="340" w:val="left"/>
        </w:tabs>
        <w:ind w:left="340" w:hanging="340"/>
      </w:pPr>
      <w:r>
        <w:rPr>
          <w:b/>
          <w:color w:val="8C5A2B"/>
        </w:rPr>
        <w:t>3.</w:t>
        <w:tab/>
      </w:r>
      <w:r>
        <w:rPr>
          <w:b/>
        </w:rPr>
        <w:t>Die Leistungen benennen, die im System liegen.</w:t>
      </w:r>
      <w:r>
        <w:t xml:space="preserve"> Ein Lieferant legt fest, welche seiner Leistungen erfasst sind. Was eine Agentur selbst mitbringt, kann außerhalb stehen; dann wird das ausdrücklich gesagt, und die Schnittstellen zum Haus werden trotzdem bewertet.</w:t>
      </w:r>
    </w:p>
    <w:p>
      <w:pPr>
        <w:tabs>
          <w:tab w:pos="340" w:val="left"/>
        </w:tabs>
        <w:ind w:left="340" w:hanging="340"/>
      </w:pPr>
      <w:r>
        <w:rPr>
          <w:b/>
          <w:color w:val="8C5A2B"/>
        </w:rPr>
        <w:t>4.</w:t>
        <w:tab/>
      </w:r>
      <w:r>
        <w:rPr>
          <w:b/>
        </w:rPr>
        <w:t>Die Phasen festlegen.</w:t>
      </w:r>
      <w:r>
        <w:t xml:space="preserve"> Am besten von der Anfrage bis zur Auswertung, denn die meisten Entscheidungen fallen im Angebot und die meisten Lehren danach.</w:t>
      </w:r>
    </w:p>
    <w:p>
      <w:pPr>
        <w:tabs>
          <w:tab w:pos="340" w:val="left"/>
        </w:tabs>
        <w:ind w:left="340" w:hanging="340"/>
      </w:pPr>
      <w:r>
        <w:rPr>
          <w:b/>
          <w:color w:val="8C5A2B"/>
        </w:rPr>
        <w:t>5.</w:t>
        <w:tab/>
      </w:r>
      <w:r>
        <w:rPr>
          <w:b/>
        </w:rPr>
        <w:t>Jeden Ausschluss begründen und terminieren.</w:t>
      </w:r>
      <w:r>
        <w:t xml:space="preserve"> Ein Satz Begründung, ein Termin, an dem er überprüft wird. Ausschlüsse ohne Grund werden gestrichen oder erklärt.</w:t>
      </w:r>
    </w:p>
    <w:p>
      <w:pPr>
        <w:tabs>
          <w:tab w:pos="340" w:val="left"/>
        </w:tabs>
        <w:ind w:left="340" w:hanging="340"/>
      </w:pPr>
      <w:r>
        <w:rPr>
          <w:b/>
          <w:color w:val="8C5A2B"/>
        </w:rPr>
        <w:t>6.</w:t>
        <w:tab/>
      </w:r>
      <w:r>
        <w:rPr>
          <w:b/>
        </w:rPr>
        <w:t>Website und Angebote an die Grenze anpassen.</w:t>
      </w:r>
      <w:r>
        <w:t xml:space="preserve"> Jede Aussage nach außen wird an der Seite mit dem Anwendungsbereich gemessen. Was darüber hinausgeht, wird geändert.</w:t>
      </w:r>
    </w:p>
    <w:p>
      <w:pPr>
        <w:tabs>
          <w:tab w:pos="340" w:val="left"/>
        </w:tabs>
        <w:ind w:left="340" w:hanging="340"/>
      </w:pPr>
      <w:r>
        <w:rPr>
          <w:b/>
          <w:color w:val="8C5A2B"/>
        </w:rPr>
        <w:t>7.</w:t>
        <w:tab/>
      </w:r>
      <w:r>
        <w:rPr>
          <w:b/>
        </w:rPr>
        <w:t>Den Weg des Nachweises entscheiden.</w:t>
      </w:r>
      <w:r>
        <w:t xml:space="preserve"> Die Eigentümerschaft legt fest, ob und wann das Haus sich selbst erklärt, Kundenaudits anbietet oder eine Zertifizierung anstrebt.</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Veranstaltungen eines Jahres zählen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Je Art klären, was das Haus steuert</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Leistungen benennen, die im System liegen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Die Phasen festlegen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Jeden Ausschluss begründen und terminieren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Website und Angebote an die Grenze anpassen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Den Weg des Nachweises entscheiden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Wissen wir, wie viele Veranstaltungen welcher Art wir im letzten Jahr hatten?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für jede Art geklärt, in welcher Rolle das Haus beteiligt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Gibt es eine datierte Seite, die den Anwendungsbereich beschreibt?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Sind alle Ausschlüsse begründet und mit einem Termin versehen?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Gelten unsere Regeln für ein kleines Seminar genauso wie für das größte Fest?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Liegt das Wissen aus früheren Projekten in Abläufen und Vorlagen, nicht nur bei Personen?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Stimmen Website und Angebote mit dem Anwendungsbereich überein?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die Eigentümerschaft entschieden, wie die Konformität nachgewiesen wird?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Mit dem besten Fest antworten.</w:t>
      </w:r>
      <w:r>
        <w:t xml:space="preserve"> Der Einkauf fragt nach dem System, nicht nach dem Abend.</w:t>
      </w:r>
    </w:p>
    <w:p>
      <w:pPr>
        <w:tabs>
          <w:tab w:pos="340" w:val="left"/>
        </w:tabs>
        <w:ind w:left="340" w:hanging="340"/>
      </w:pPr>
      <w:r>
        <w:rPr>
          <w:color w:val="8C5A2B"/>
        </w:rPr>
        <w:t>–</w:t>
        <w:tab/>
      </w:r>
      <w:r>
        <w:rPr>
          <w:b/>
        </w:rPr>
        <w:t>«Alle Veranstaltungen» schreiben.</w:t>
      </w:r>
      <w:r>
        <w:t xml:space="preserve"> Der Bereich verspricht dann auch, was das Haus nicht steuert.</w:t>
      </w:r>
    </w:p>
    <w:p>
      <w:pPr>
        <w:tabs>
          <w:tab w:pos="340" w:val="left"/>
        </w:tabs>
        <w:ind w:left="340" w:hanging="340"/>
      </w:pPr>
      <w:r>
        <w:rPr>
          <w:color w:val="8C5A2B"/>
        </w:rPr>
        <w:t>–</w:t>
        <w:tab/>
      </w:r>
      <w:r>
        <w:rPr>
          <w:b/>
        </w:rPr>
        <w:t>Den Bereich auf einen Kunden zuschneiden und vom ganzen Haus sprechen.</w:t>
      </w:r>
      <w:r>
        <w:t xml:space="preserve"> Ein enger Bereich ist zulässig, wenn er so beschrieben wird; er zeigt aber nicht, wie das Haus sonst arbeitet.</w:t>
      </w:r>
    </w:p>
    <w:p>
      <w:pPr>
        <w:tabs>
          <w:tab w:pos="340" w:val="left"/>
        </w:tabs>
        <w:ind w:left="340" w:hanging="340"/>
      </w:pPr>
      <w:r>
        <w:rPr>
          <w:color w:val="8C5A2B"/>
        </w:rPr>
        <w:t>–</w:t>
        <w:tab/>
      </w:r>
      <w:r>
        <w:rPr>
          <w:b/>
        </w:rPr>
        <w:t>Von einer zertifizierten Veranstaltung sprechen.</w:t>
      </w:r>
      <w:r>
        <w:t xml:space="preserve"> Zertifiziert werden kann nur das System.</w:t>
      </w:r>
    </w:p>
    <w:p>
      <w:pPr>
        <w:tabs>
          <w:tab w:pos="340" w:val="left"/>
        </w:tabs>
        <w:ind w:left="340" w:hanging="340"/>
      </w:pPr>
      <w:r>
        <w:rPr>
          <w:color w:val="8C5A2B"/>
        </w:rPr>
        <w:t>–</w:t>
        <w:tab/>
      </w:r>
      <w:r>
        <w:rPr>
          <w:b/>
        </w:rPr>
        <w:t>Ein Handbuch neben die Ablaufpläne stellen.</w:t>
      </w:r>
      <w:r>
        <w:t xml:space="preserve"> Das System gehört in die Pläne, nach denen gearbeitet wird.</w:t>
      </w:r>
    </w:p>
    <w:p>
      <w:pPr>
        <w:tabs>
          <w:tab w:pos="340" w:val="left"/>
        </w:tabs>
        <w:ind w:left="340" w:hanging="340"/>
      </w:pPr>
      <w:r>
        <w:rPr>
          <w:color w:val="8C5A2B"/>
        </w:rPr>
        <w:t>–</w:t>
        <w:tab/>
      </w:r>
      <w:r>
        <w:rPr>
          <w:b/>
        </w:rPr>
        <w:t>Den Preis auf der Website stehen lassen.</w:t>
      </w:r>
      <w:r>
        <w:t xml:space="preserve"> Er belegt einen Abend, der Satz daneben das ganze Haus.</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Rahmenvertrag, 40 Tagungen</w:t>
            </w:r>
          </w:p>
        </w:tc>
        <w:tc>
          <w:tcPr>
            <w:tcW w:type="dxa" w:w="1474"/>
          </w:tcPr>
          <w:p>
            <w:pPr>
              <w:spacing w:after="0" w:before="0"/>
            </w:pPr>
            <w:r/>
            <w:r>
              <w:rPr>
                <w:b w:val="0"/>
                <w:i w:val="0"/>
                <w:color w:val="1A1A1A"/>
                <w:sz w:val="18"/>
              </w:rPr>
              <w:t>€ 480.000</w:t>
            </w:r>
          </w:p>
        </w:tc>
        <w:tc>
          <w:tcPr>
            <w:tcW w:type="dxa" w:w="3175"/>
          </w:tcPr>
          <w:p>
            <w:pPr>
              <w:spacing w:after="0" w:before="0"/>
            </w:pPr>
            <w:r/>
            <w:r>
              <w:rPr>
                <w:b w:val="0"/>
                <w:i w:val="0"/>
                <w:color w:val="1A1A1A"/>
                <w:sz w:val="18"/>
              </w:rPr>
              <w:t>jährlicher Umsatz, ausgeschrieben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Liste der Veranstaltungen eines Jahres, nach Arten</w:t>
            </w:r>
          </w:p>
        </w:tc>
        <w:tc>
          <w:tcPr>
            <w:tcW w:type="dxa" w:w="1474"/>
            <w:shd w:val="clear" w:color="auto" w:fill="F3EFE6"/>
          </w:tcPr>
          <w:p>
            <w:pPr>
              <w:spacing w:after="0" w:before="0"/>
            </w:pPr>
            <w:r/>
            <w:r>
              <w:rPr>
                <w:b w:val="0"/>
                <w:i w:val="0"/>
                <w:color w:val="1A1A1A"/>
                <w:sz w:val="18"/>
              </w:rPr>
              <w:t>24 Stunden</w:t>
            </w:r>
          </w:p>
        </w:tc>
        <w:tc>
          <w:tcPr>
            <w:tcW w:type="dxa" w:w="3175"/>
            <w:shd w:val="clear" w:color="auto" w:fill="F3EFE6"/>
          </w:tcPr>
          <w:p>
            <w:pPr>
              <w:spacing w:after="0" w:before="0"/>
            </w:pPr>
            <w:r/>
            <w:r>
              <w:rPr>
                <w:b w:val="0"/>
                <w:i w:val="0"/>
                <w:color w:val="1A1A1A"/>
                <w:sz w:val="18"/>
              </w:rPr>
              <w:t>einmalig, Eventleitung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Anwendungsbereich mit Ausschlüssen, eine Seite</w:t>
            </w:r>
          </w:p>
        </w:tc>
        <w:tc>
          <w:tcPr>
            <w:tcW w:type="dxa" w:w="1474"/>
          </w:tcPr>
          <w:p>
            <w:pPr>
              <w:spacing w:after="0" w:before="0"/>
            </w:pPr>
            <w:r/>
            <w:r>
              <w:rPr>
                <w:b w:val="0"/>
                <w:i w:val="0"/>
                <w:color w:val="1A1A1A"/>
                <w:sz w:val="18"/>
              </w:rPr>
              <w:t>16 Stunden</w:t>
            </w:r>
          </w:p>
        </w:tc>
        <w:tc>
          <w:tcPr>
            <w:tcW w:type="dxa" w:w="3175"/>
          </w:tcPr>
          <w:p>
            <w:pPr>
              <w:spacing w:after="0" w:before="0"/>
            </w:pPr>
            <w:r/>
            <w:r>
              <w:rPr>
                <w:b w:val="0"/>
                <w:i w:val="0"/>
                <w:color w:val="1A1A1A"/>
                <w:sz w:val="18"/>
              </w:rPr>
              <w:t>einmalig, Geschäftsführung und Eventleitung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Ablaufpläne von Anfrage bis Auswertung überarbeiten</w:t>
            </w:r>
          </w:p>
        </w:tc>
        <w:tc>
          <w:tcPr>
            <w:tcW w:type="dxa" w:w="1474"/>
            <w:shd w:val="clear" w:color="auto" w:fill="F3EFE6"/>
          </w:tcPr>
          <w:p>
            <w:pPr>
              <w:spacing w:after="0" w:before="0"/>
            </w:pPr>
            <w:r/>
            <w:r>
              <w:rPr>
                <w:b w:val="0"/>
                <w:i w:val="0"/>
                <w:color w:val="1A1A1A"/>
                <w:sz w:val="18"/>
              </w:rPr>
              <w:t>120 Stunden</w:t>
            </w:r>
          </w:p>
        </w:tc>
        <w:tc>
          <w:tcPr>
            <w:tcW w:type="dxa" w:w="3175"/>
            <w:shd w:val="clear" w:color="auto" w:fill="F3EFE6"/>
          </w:tcPr>
          <w:p>
            <w:pPr>
              <w:spacing w:after="0" w:before="0"/>
            </w:pPr>
            <w:r/>
            <w:r>
              <w:rPr>
                <w:b w:val="0"/>
                <w:i w:val="0"/>
                <w:color w:val="1A1A1A"/>
                <w:sz w:val="18"/>
              </w:rPr>
              <w:t>einmalig, verteilt auf sechs Monate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Website und Angebotsvorlagen anpassen</w:t>
            </w:r>
          </w:p>
        </w:tc>
        <w:tc>
          <w:tcPr>
            <w:tcW w:type="dxa" w:w="1474"/>
          </w:tcPr>
          <w:p>
            <w:pPr>
              <w:spacing w:after="0" w:before="0"/>
            </w:pPr>
            <w:r/>
            <w:r>
              <w:rPr>
                <w:b w:val="0"/>
                <w:i w:val="0"/>
                <w:color w:val="1A1A1A"/>
                <w:sz w:val="18"/>
              </w:rPr>
              <w:t>12 Stunden</w:t>
            </w:r>
          </w:p>
        </w:tc>
        <w:tc>
          <w:tcPr>
            <w:tcW w:type="dxa" w:w="3175"/>
          </w:tcPr>
          <w:p>
            <w:pPr>
              <w:spacing w:after="0" w:before="0"/>
            </w:pPr>
            <w:r/>
            <w:r>
              <w:rPr>
                <w:b w:val="0"/>
                <w:i w:val="0"/>
                <w:color w:val="1A1A1A"/>
                <w:sz w:val="18"/>
              </w:rPr>
              <w:t>einmalig, Marketing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erstes internes Audit und Managementbewertung</w:t>
            </w:r>
          </w:p>
        </w:tc>
        <w:tc>
          <w:tcPr>
            <w:tcW w:type="dxa" w:w="1474"/>
            <w:shd w:val="clear" w:color="auto" w:fill="F3EFE6"/>
          </w:tcPr>
          <w:p>
            <w:pPr>
              <w:spacing w:after="0" w:before="0"/>
            </w:pPr>
            <w:r/>
            <w:r>
              <w:rPr>
                <w:b w:val="0"/>
                <w:i w:val="0"/>
                <w:color w:val="1A1A1A"/>
                <w:sz w:val="18"/>
              </w:rPr>
              <w:t>40 Stunden</w:t>
            </w:r>
          </w:p>
        </w:tc>
        <w:tc>
          <w:tcPr>
            <w:tcW w:type="dxa" w:w="3175"/>
            <w:shd w:val="clear" w:color="auto" w:fill="F3EFE6"/>
          </w:tcPr>
          <w:p>
            <w:pPr>
              <w:spacing w:after="0" w:before="0"/>
            </w:pPr>
            <w:r/>
            <w:r>
              <w:rPr>
                <w:b w:val="0"/>
                <w:i w:val="0"/>
                <w:color w:val="1A1A1A"/>
                <w:sz w:val="18"/>
              </w:rPr>
              <w:t>vor einer Selbsterklärung</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stellt einen ausgeschriebenen Umsatz neben Stunden, die das Haus ohnehin brauchte. Sie behauptet nicht, dass der Rahmenvertrag mit einem Anwendungsbereich gewonnen ist. Sie zeigt, was eine ehrliche Antwort auf Seite neun kostet.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Grenzen und Anwendbarkeit festlegen, 4.1 und 4.2 berücksichtigen (4.3)</w:t>
            </w:r>
          </w:p>
        </w:tc>
        <w:tc>
          <w:tcPr>
            <w:tcW w:type="dxa" w:w="3175"/>
          </w:tcPr>
          <w:p>
            <w:pPr>
              <w:spacing w:after="0" w:before="0"/>
            </w:pPr>
            <w:r/>
            <w:r>
              <w:rPr>
                <w:b w:val="0"/>
                <w:i w:val="0"/>
                <w:color w:val="1A1A1A"/>
                <w:sz w:val="18"/>
              </w:rPr>
              <w:t>Beschluss mit den drei Seiten der Grenze</w:t>
            </w:r>
          </w:p>
        </w:tc>
        <w:tc>
          <w:tcPr>
            <w:tcW w:type="dxa" w:w="3175"/>
          </w:tcPr>
          <w:p>
            <w:pPr>
              <w:spacing w:after="0" w:before="0"/>
            </w:pPr>
            <w:r/>
            <w:r>
              <w:rPr>
                <w:b w:val="0"/>
                <w:i w:val="0"/>
                <w:color w:val="1A1A1A"/>
                <w:sz w:val="18"/>
              </w:rPr>
              <w:t>A.5: eine, eine Reihe, alle; zeitliche Grenzen</w:t>
            </w:r>
          </w:p>
        </w:tc>
      </w:tr>
      <w:tr>
        <w:trPr>
          <w:cantSplit w:val="true"/>
        </w:trPr>
        <w:tc>
          <w:tcPr>
            <w:tcW w:type="dxa" w:w="3288"/>
            <w:shd w:val="clear" w:color="auto" w:fill="F3EFE6"/>
          </w:tcPr>
          <w:p>
            <w:pPr>
              <w:spacing w:after="0" w:before="0"/>
            </w:pPr>
            <w:r/>
            <w:r>
              <w:rPr>
                <w:b w:val="0"/>
                <w:i w:val="0"/>
                <w:color w:val="1A1A1A"/>
                <w:sz w:val="18"/>
              </w:rPr>
              <w:t>Anwendungsbereich als dokumentierte Information (4.3)</w:t>
            </w:r>
          </w:p>
        </w:tc>
        <w:tc>
          <w:tcPr>
            <w:tcW w:type="dxa" w:w="3175"/>
            <w:shd w:val="clear" w:color="auto" w:fill="F3EFE6"/>
          </w:tcPr>
          <w:p>
            <w:pPr>
              <w:spacing w:after="0" w:before="0"/>
            </w:pPr>
            <w:r/>
            <w:r>
              <w:rPr>
                <w:b w:val="0"/>
                <w:i w:val="0"/>
                <w:color w:val="1A1A1A"/>
                <w:sz w:val="18"/>
              </w:rPr>
              <w:t>eine datierte Seite mit Ausschlüssen und Gründen</w:t>
            </w:r>
          </w:p>
        </w:tc>
        <w:tc>
          <w:tcPr>
            <w:tcW w:type="dxa" w:w="3175"/>
            <w:shd w:val="clear" w:color="auto" w:fill="F3EFE6"/>
          </w:tcPr>
          <w:p>
            <w:pPr>
              <w:spacing w:after="0" w:before="0"/>
            </w:pPr>
            <w:r/>
            <w:r>
              <w:rPr>
                <w:b w:val="0"/>
                <w:i w:val="0"/>
                <w:color w:val="1A1A1A"/>
                <w:sz w:val="18"/>
              </w:rPr>
              <w:t>Methode: Termin für jeden Ausschluss</w:t>
            </w:r>
          </w:p>
        </w:tc>
      </w:tr>
      <w:tr>
        <w:trPr>
          <w:cantSplit w:val="true"/>
        </w:trPr>
        <w:tc>
          <w:tcPr>
            <w:tcW w:type="dxa" w:w="3288"/>
          </w:tcPr>
          <w:p>
            <w:pPr>
              <w:spacing w:after="0" w:before="0"/>
            </w:pPr>
            <w:r/>
            <w:r>
              <w:rPr>
                <w:b w:val="0"/>
                <w:i w:val="0"/>
                <w:color w:val="1A1A1A"/>
                <w:sz w:val="18"/>
              </w:rPr>
              <w:t>System mit Prozessen und Wechselwirkungen (4.4)</w:t>
            </w:r>
          </w:p>
        </w:tc>
        <w:tc>
          <w:tcPr>
            <w:tcW w:type="dxa" w:w="3175"/>
          </w:tcPr>
          <w:p>
            <w:pPr>
              <w:spacing w:after="0" w:before="0"/>
            </w:pPr>
            <w:r/>
            <w:r>
              <w:rPr>
                <w:b w:val="0"/>
                <w:i w:val="0"/>
                <w:color w:val="1A1A1A"/>
                <w:sz w:val="18"/>
              </w:rPr>
              <w:t>Ablaufpläne von der Anfrage bis zur Auswertung</w:t>
            </w:r>
          </w:p>
        </w:tc>
        <w:tc>
          <w:tcPr>
            <w:tcW w:type="dxa" w:w="3175"/>
          </w:tcPr>
          <w:p>
            <w:pPr>
              <w:spacing w:after="0" w:before="0"/>
            </w:pPr>
            <w:r/>
            <w:r>
              <w:rPr>
                <w:b w:val="0"/>
                <w:i w:val="0"/>
                <w:color w:val="1A1A1A"/>
                <w:sz w:val="18"/>
              </w:rPr>
              <w:t>Formalisierung nicht Pflicht (Anmerkung)</w:t>
            </w:r>
          </w:p>
        </w:tc>
      </w:tr>
      <w:tr>
        <w:trPr>
          <w:cantSplit w:val="true"/>
        </w:trPr>
        <w:tc>
          <w:tcPr>
            <w:tcW w:type="dxa" w:w="3288"/>
            <w:shd w:val="clear" w:color="auto" w:fill="F3EFE6"/>
          </w:tcPr>
          <w:p>
            <w:pPr>
              <w:spacing w:after="0" w:before="0"/>
            </w:pPr>
            <w:r/>
            <w:r>
              <w:rPr>
                <w:b w:val="0"/>
                <w:i w:val="0"/>
                <w:color w:val="1A1A1A"/>
                <w:sz w:val="18"/>
              </w:rPr>
              <w:t>Keine irreführende Kommunikation (7.4)</w:t>
            </w:r>
          </w:p>
        </w:tc>
        <w:tc>
          <w:tcPr>
            <w:tcW w:type="dxa" w:w="3175"/>
            <w:shd w:val="clear" w:color="auto" w:fill="F3EFE6"/>
          </w:tcPr>
          <w:p>
            <w:pPr>
              <w:spacing w:after="0" w:before="0"/>
            </w:pPr>
            <w:r/>
            <w:r>
              <w:rPr>
                <w:b w:val="0"/>
                <w:i w:val="0"/>
                <w:color w:val="1A1A1A"/>
                <w:sz w:val="18"/>
              </w:rPr>
              <w:t>Website und Angebote nennen den Bereich</w:t>
            </w:r>
          </w:p>
        </w:tc>
        <w:tc>
          <w:tcPr>
            <w:tcW w:type="dxa" w:w="3175"/>
            <w:shd w:val="clear" w:color="auto" w:fill="F3EFE6"/>
          </w:tcPr>
          <w:p>
            <w:pPr>
              <w:spacing w:after="0" w:before="0"/>
            </w:pPr>
            <w:r/>
            <w:r>
              <w:rPr>
                <w:b w:val="0"/>
                <w:i w:val="0"/>
                <w:color w:val="1A1A1A"/>
                <w:sz w:val="18"/>
              </w:rPr>
              <w:t>A.2: nur das System ist konform</w:t>
            </w:r>
          </w:p>
        </w:tc>
      </w:tr>
      <w:tr>
        <w:trPr>
          <w:cantSplit w:val="true"/>
        </w:trPr>
        <w:tc>
          <w:tcPr>
            <w:tcW w:type="dxa" w:w="3288"/>
          </w:tcPr>
          <w:p>
            <w:pPr>
              <w:spacing w:after="0" w:before="0"/>
            </w:pPr>
            <w:r/>
            <w:r>
              <w:rPr>
                <w:b w:val="0"/>
                <w:i w:val="0"/>
                <w:color w:val="1A1A1A"/>
                <w:sz w:val="18"/>
              </w:rPr>
              <w:t>Fortlaufend verbessern (4.4)</w:t>
            </w:r>
          </w:p>
        </w:tc>
        <w:tc>
          <w:tcPr>
            <w:tcW w:type="dxa" w:w="3175"/>
          </w:tcPr>
          <w:p>
            <w:pPr>
              <w:spacing w:after="0" w:before="0"/>
            </w:pPr>
            <w:r/>
            <w:r>
              <w:rPr>
                <w:b w:val="0"/>
                <w:i w:val="0"/>
                <w:color w:val="1A1A1A"/>
                <w:sz w:val="18"/>
              </w:rPr>
              <w:t>Managementbewertung, Änderungen des Bereichs</w:t>
            </w:r>
          </w:p>
        </w:tc>
        <w:tc>
          <w:tcPr>
            <w:tcW w:type="dxa" w:w="3175"/>
          </w:tcPr>
          <w:p>
            <w:pPr>
              <w:spacing w:after="0" w:before="0"/>
            </w:pPr>
            <w:r/>
            <w:r>
              <w:rPr>
                <w:b w:val="0"/>
                <w:i w:val="0"/>
                <w:color w:val="1A1A1A"/>
                <w:sz w:val="18"/>
              </w:rPr>
              <w:t>A.24: Wege der Konformitätsaussage</w:t>
            </w:r>
          </w:p>
        </w:tc>
      </w:tr>
    </w:tbl>
    <w:p>
      <w:pPr>
        <w:spacing w:after="40"/>
      </w:pPr>
    </w:p>
    <w:p>
      <w:pPr>
        <w:pStyle w:val="Heading2"/>
      </w:pPr>
      <w:r>
        <w:t>DACH-Anker: Aussagen über das System und ihr Nachweis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Umweltaussagen in der Werbung</w:t>
            </w:r>
          </w:p>
        </w:tc>
        <w:tc>
          <w:tcPr>
            <w:tcW w:type="dxa" w:w="2721"/>
          </w:tcPr>
          <w:p>
            <w:pPr>
              <w:spacing w:after="0" w:before="0"/>
            </w:pPr>
            <w:r/>
            <w:r>
              <w:rPr>
                <w:b w:val="0"/>
                <w:i w:val="0"/>
                <w:color w:val="1A1A1A"/>
                <w:sz w:val="17"/>
              </w:rPr>
              <w:t>UWG, neue Regeln gegenüber Verbrauchern ab 27. September 2026</w:t>
            </w:r>
          </w:p>
        </w:tc>
        <w:tc>
          <w:tcPr>
            <w:tcW w:type="dxa" w:w="2721"/>
          </w:tcPr>
          <w:p>
            <w:pPr>
              <w:spacing w:after="0" w:before="0"/>
            </w:pPr>
            <w:r/>
            <w:r>
              <w:rPr>
                <w:b w:val="0"/>
                <w:i w:val="0"/>
                <w:color w:val="1A1A1A"/>
                <w:sz w:val="17"/>
              </w:rPr>
              <w:t>UWG-Novelle BGBl. I Nr. 58/2026, gegenüber Verbrauchern ab 27. September 2026</w:t>
            </w:r>
          </w:p>
        </w:tc>
        <w:tc>
          <w:tcPr>
            <w:tcW w:type="dxa" w:w="2721"/>
          </w:tcPr>
          <w:p>
            <w:pPr>
              <w:spacing w:after="0" w:before="0"/>
            </w:pPr>
            <w:r/>
            <w:r>
              <w:rPr>
                <w:b w:val="0"/>
                <w:i w:val="0"/>
                <w:color w:val="1A1A1A"/>
                <w:sz w:val="17"/>
              </w:rPr>
              <w:t>UWG Art. 3 Abs. 1 lit. b und lit. x</w:t>
            </w:r>
          </w:p>
        </w:tc>
      </w:tr>
      <w:tr>
        <w:trPr>
          <w:cantSplit w:val="true"/>
        </w:trPr>
        <w:tc>
          <w:tcPr>
            <w:tcW w:type="dxa" w:w="1474"/>
            <w:shd w:val="clear" w:color="auto" w:fill="F3EFE6"/>
          </w:tcPr>
          <w:p>
            <w:pPr>
              <w:spacing w:after="0" w:before="0"/>
            </w:pPr>
            <w:r/>
            <w:r>
              <w:rPr>
                <w:b w:val="0"/>
                <w:i w:val="0"/>
                <w:color w:val="1A1A1A"/>
                <w:sz w:val="17"/>
              </w:rPr>
              <w:t>Zeichen und Siegel</w:t>
            </w:r>
          </w:p>
        </w:tc>
        <w:tc>
          <w:tcPr>
            <w:tcW w:type="dxa" w:w="2721"/>
            <w:shd w:val="clear" w:color="auto" w:fill="F3EFE6"/>
          </w:tcPr>
          <w:p>
            <w:pPr>
              <w:spacing w:after="0" w:before="0"/>
            </w:pPr>
            <w:r/>
            <w:r>
              <w:rPr>
                <w:b w:val="0"/>
                <w:i w:val="0"/>
                <w:color w:val="1A1A1A"/>
                <w:sz w:val="17"/>
              </w:rPr>
              <w:t>gegenüber Verbrauchern Nachhaltigkeitssiegel nur mit Zertifizierungssystem oder staatlicher Festsetzung (UWG, Anhang Nr. 2a)</w:t>
            </w:r>
          </w:p>
        </w:tc>
        <w:tc>
          <w:tcPr>
            <w:tcW w:type="dxa" w:w="2721"/>
            <w:shd w:val="clear" w:color="auto" w:fill="F3EFE6"/>
          </w:tcPr>
          <w:p>
            <w:pPr>
              <w:spacing w:after="0" w:before="0"/>
            </w:pPr>
            <w:r/>
            <w:r>
              <w:rPr>
                <w:b w:val="0"/>
                <w:i w:val="0"/>
                <w:color w:val="1A1A1A"/>
                <w:sz w:val="17"/>
              </w:rPr>
              <w:t>gleiche Regel aus derselben Richtlinie</w:t>
            </w:r>
          </w:p>
        </w:tc>
        <w:tc>
          <w:tcPr>
            <w:tcW w:type="dxa" w:w="2721"/>
            <w:shd w:val="clear" w:color="auto" w:fill="F3EFE6"/>
          </w:tcPr>
          <w:p>
            <w:pPr>
              <w:spacing w:after="0" w:before="0"/>
            </w:pPr>
            <w:r/>
            <w:r>
              <w:rPr>
                <w:b w:val="0"/>
                <w:i w:val="0"/>
                <w:color w:val="1A1A1A"/>
                <w:sz w:val="17"/>
              </w:rPr>
              <w:t>Richtlinie nicht übernommen; UWG und Lauterkeitsgrundsätze</w:t>
            </w:r>
          </w:p>
        </w:tc>
      </w:tr>
      <w:tr>
        <w:trPr>
          <w:cantSplit w:val="true"/>
        </w:trPr>
        <w:tc>
          <w:tcPr>
            <w:tcW w:type="dxa" w:w="1474"/>
          </w:tcPr>
          <w:p>
            <w:pPr>
              <w:spacing w:after="0" w:before="0"/>
            </w:pPr>
            <w:r/>
            <w:r>
              <w:rPr>
                <w:b w:val="0"/>
                <w:i w:val="0"/>
                <w:color w:val="1A1A1A"/>
                <w:sz w:val="17"/>
              </w:rPr>
              <w:t>Zertifikat nach ISO 20121</w:t>
            </w:r>
          </w:p>
        </w:tc>
        <w:tc>
          <w:tcPr>
            <w:tcW w:type="dxa" w:w="2721"/>
          </w:tcPr>
          <w:p>
            <w:pPr>
              <w:spacing w:after="0" w:before="0"/>
            </w:pPr>
            <w:r/>
            <w:r>
              <w:rPr>
                <w:b w:val="0"/>
                <w:i w:val="0"/>
                <w:color w:val="1A1A1A"/>
                <w:sz w:val="17"/>
              </w:rPr>
              <w:t>angeboten; Programm bei der DAkkS nach Branchenmeldung beantragt; Akkreditierung der einzelnen Stelle und ihren Geltungsbereich erfragen</w:t>
            </w:r>
          </w:p>
        </w:tc>
        <w:tc>
          <w:tcPr>
            <w:tcW w:type="dxa" w:w="2721"/>
          </w:tcPr>
          <w:p>
            <w:pPr>
              <w:spacing w:after="0" w:before="0"/>
            </w:pPr>
            <w:r/>
            <w:r>
              <w:rPr>
                <w:b w:val="0"/>
                <w:i w:val="0"/>
                <w:color w:val="1A1A1A"/>
                <w:sz w:val="17"/>
              </w:rPr>
              <w:t>angeboten; Akkreditierung im Einzelfall erfragen</w:t>
            </w:r>
          </w:p>
        </w:tc>
        <w:tc>
          <w:tcPr>
            <w:tcW w:type="dxa" w:w="2721"/>
          </w:tcPr>
          <w:p>
            <w:pPr>
              <w:spacing w:after="0" w:before="0"/>
            </w:pPr>
            <w:r/>
            <w:r>
              <w:rPr>
                <w:b w:val="0"/>
                <w:i w:val="0"/>
                <w:color w:val="1A1A1A"/>
                <w:sz w:val="17"/>
              </w:rPr>
              <w:t>angeboten; Akkreditierung im Einzelfall erfragen</w:t>
            </w:r>
          </w:p>
        </w:tc>
      </w:tr>
      <w:tr>
        <w:trPr>
          <w:cantSplit w:val="true"/>
        </w:trPr>
        <w:tc>
          <w:tcPr>
            <w:tcW w:type="dxa" w:w="1474"/>
            <w:shd w:val="clear" w:color="auto" w:fill="F3EFE6"/>
          </w:tcPr>
          <w:p>
            <w:pPr>
              <w:spacing w:after="0" w:before="0"/>
            </w:pPr>
            <w:r/>
            <w:r>
              <w:rPr>
                <w:b w:val="0"/>
                <w:i w:val="0"/>
                <w:color w:val="1A1A1A"/>
                <w:sz w:val="17"/>
              </w:rPr>
              <w:t>Staatliche Orientierung</w:t>
            </w:r>
          </w:p>
        </w:tc>
        <w:tc>
          <w:tcPr>
            <w:tcW w:type="dxa" w:w="2721"/>
            <w:shd w:val="clear" w:color="auto" w:fill="F3EFE6"/>
          </w:tcPr>
          <w:p>
            <w:pPr>
              <w:spacing w:after="0" w:before="0"/>
            </w:pPr>
            <w:r/>
            <w:r>
              <w:rPr>
                <w:b w:val="0"/>
                <w:i w:val="0"/>
                <w:color w:val="1A1A1A"/>
                <w:sz w:val="17"/>
              </w:rPr>
              <w:t>Leitfaden von Bundesumweltministerium und Umweltbundesamt</w:t>
            </w:r>
          </w:p>
        </w:tc>
        <w:tc>
          <w:tcPr>
            <w:tcW w:type="dxa" w:w="2721"/>
            <w:shd w:val="clear" w:color="auto" w:fill="F3EFE6"/>
          </w:tcPr>
          <w:p>
            <w:pPr>
              <w:spacing w:after="0" w:before="0"/>
            </w:pPr>
            <w:r/>
            <w:r>
              <w:rPr>
                <w:b w:val="0"/>
                <w:i w:val="0"/>
                <w:color w:val="1A1A1A"/>
                <w:sz w:val="17"/>
              </w:rPr>
              <w:t>Österreichisches Umweltzeichen UZ 62 Green Meetings und Green Events</w:t>
            </w:r>
          </w:p>
        </w:tc>
        <w:tc>
          <w:tcPr>
            <w:tcW w:type="dxa" w:w="2721"/>
            <w:shd w:val="clear" w:color="auto" w:fill="F3EFE6"/>
          </w:tcPr>
          <w:p>
            <w:pPr>
              <w:spacing w:after="0" w:before="0"/>
            </w:pPr>
            <w:r/>
            <w:r>
              <w:rPr>
                <w:b w:val="0"/>
                <w:i w:val="0"/>
                <w:color w:val="1A1A1A"/>
                <w:sz w:val="17"/>
              </w:rPr>
              <w:t>private Zeichen, nach UWG zu messen</w:t>
            </w:r>
          </w:p>
        </w:tc>
      </w:tr>
      <w:tr>
        <w:trPr>
          <w:cantSplit w:val="true"/>
        </w:trPr>
        <w:tc>
          <w:tcPr>
            <w:tcW w:type="dxa" w:w="1474"/>
          </w:tcPr>
          <w:p>
            <w:pPr>
              <w:spacing w:after="0" w:before="0"/>
            </w:pPr>
            <w:r/>
            <w:r>
              <w:rPr>
                <w:b w:val="0"/>
                <w:i w:val="0"/>
                <w:color w:val="1A1A1A"/>
                <w:sz w:val="17"/>
              </w:rPr>
              <w:t>Berichtspflicht des Kunden</w:t>
            </w:r>
          </w:p>
        </w:tc>
        <w:tc>
          <w:tcPr>
            <w:tcW w:type="dxa" w:w="2721"/>
          </w:tcPr>
          <w:p>
            <w:pPr>
              <w:spacing w:after="0" w:before="0"/>
            </w:pPr>
            <w:r/>
            <w:r>
              <w:rPr>
                <w:b w:val="0"/>
                <w:i w:val="0"/>
                <w:color w:val="1A1A1A"/>
                <w:sz w:val="17"/>
              </w:rPr>
              <w:t>nach Omnibus I künftig, nach Umsetzung in nationales Recht, nur über 1.000 Beschäftigte und 450 Mio. Euro Umsatz</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Obligationenrecht Art. 964a ff. für große Publikumsgesellschaften</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1.14.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1.14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1.14 — Den Anwendungsbereich festlegen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