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1.15</w:t>
      </w:r>
    </w:p>
    <w:p>
      <w:pPr>
        <w:pStyle w:val="Heading1"/>
      </w:pPr>
      <w:r>
        <w:t>Menschen- und Kinderrechte in die Planung holen</w:t>
      </w:r>
    </w:p>
    <w:p>
      <w:pPr>
        <w:spacing w:after="0"/>
      </w:pPr>
      <w:r>
        <w:rPr>
          <w:b w:val="0"/>
          <w:i/>
          <w:color w:val="5A5A5A"/>
        </w:rPr>
        <w:t>Abschnitt 1.15 · Menschen- und Kinderrechte bei Veranstaltungen</w:t>
      </w:r>
    </w:p>
    <w:p>
      <w:pPr>
        <w:spacing w:after="160"/>
      </w:pPr>
      <w:r>
        <w:rPr>
          <w:b w:val="0"/>
          <w:i w:val="0"/>
          <w:color w:val="5A5A5A"/>
          <w:sz w:val="18"/>
        </w:rPr>
        <w:t>Modellfall im Buch: Bregenz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bei Ihrem nächsten Fest Kinder singen und die Hälfte des Service über eine Agentur kommt: Wissen Sie, wer für diese Menschen einsteht, solange sie in Ihrem Haus sind? Und was täten Sie, wenn Sie erführen, dass einem von ihnen Unrecht geschieht?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Kreise der Verantwortung, am Abend der Gala</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Kreis</w:t>
            </w:r>
          </w:p>
        </w:tc>
        <w:tc>
          <w:tcPr>
            <w:tcW w:type="dxa" w:w="3213"/>
            <w:shd w:val="clear" w:color="auto" w:fill="8C5A2B"/>
          </w:tcPr>
          <w:p>
            <w:pPr>
              <w:spacing w:after="0" w:before="0"/>
            </w:pPr>
            <w:r/>
            <w:r>
              <w:rPr>
                <w:b/>
                <w:i w:val="0"/>
                <w:color w:val="FFFFFF"/>
                <w:sz w:val="18"/>
              </w:rPr>
              <w:t>Was dort liegt</w:t>
            </w:r>
          </w:p>
        </w:tc>
        <w:tc>
          <w:tcPr>
            <w:tcW w:type="dxa" w:w="3213"/>
            <w:shd w:val="clear" w:color="auto" w:fill="8C5A2B"/>
          </w:tcPr>
          <w:p>
            <w:pPr>
              <w:spacing w:after="0" w:before="0"/>
            </w:pPr>
            <w:r/>
            <w:r>
              <w:rPr>
                <w:b/>
                <w:i w:val="0"/>
                <w:color w:val="FFFFFF"/>
                <w:sz w:val="18"/>
              </w:rPr>
              <w:t>Was das Haus tut</w:t>
            </w:r>
          </w:p>
        </w:tc>
      </w:tr>
      <w:tr>
        <w:trPr>
          <w:cantSplit w:val="true"/>
        </w:trPr>
        <w:tc>
          <w:tcPr>
            <w:tcW w:type="dxa" w:w="3213"/>
          </w:tcPr>
          <w:p>
            <w:pPr>
              <w:spacing w:after="0" w:before="0"/>
            </w:pPr>
            <w:r/>
            <w:r>
              <w:rPr>
                <w:b w:val="0"/>
                <w:i w:val="0"/>
                <w:color w:val="1A1A1A"/>
                <w:sz w:val="18"/>
              </w:rPr>
              <w:t>steuern</w:t>
            </w:r>
          </w:p>
        </w:tc>
        <w:tc>
          <w:tcPr>
            <w:tcW w:type="dxa" w:w="3213"/>
          </w:tcPr>
          <w:p>
            <w:pPr>
              <w:spacing w:after="0" w:before="0"/>
            </w:pPr>
            <w:r/>
            <w:r>
              <w:rPr>
                <w:b w:val="0"/>
                <w:i w:val="0"/>
                <w:color w:val="1A1A1A"/>
                <w:sz w:val="18"/>
              </w:rPr>
              <w:t>eigene Mitarbeitende, Räume, Zeitplan, Dienstplan auch für Leihkräfte</w:t>
            </w:r>
          </w:p>
        </w:tc>
        <w:tc>
          <w:tcPr>
            <w:tcW w:type="dxa" w:w="3213"/>
          </w:tcPr>
          <w:p>
            <w:pPr>
              <w:spacing w:after="0" w:before="0"/>
            </w:pPr>
            <w:r/>
            <w:r>
              <w:rPr>
                <w:b w:val="0"/>
                <w:i w:val="0"/>
                <w:color w:val="1A1A1A"/>
                <w:sz w:val="18"/>
              </w:rPr>
              <w:t>handeln: Plan nach den Kindern, Arbeitszeit nach den Regeln</w:t>
            </w:r>
          </w:p>
        </w:tc>
      </w:tr>
      <w:tr>
        <w:trPr>
          <w:cantSplit w:val="true"/>
        </w:trPr>
        <w:tc>
          <w:tcPr>
            <w:tcW w:type="dxa" w:w="3213"/>
            <w:shd w:val="clear" w:color="auto" w:fill="F3EFE6"/>
          </w:tcPr>
          <w:p>
            <w:pPr>
              <w:spacing w:after="0" w:before="0"/>
            </w:pPr>
            <w:r/>
            <w:r>
              <w:rPr>
                <w:b w:val="0"/>
                <w:i w:val="0"/>
                <w:color w:val="1A1A1A"/>
                <w:sz w:val="18"/>
              </w:rPr>
              <w:t>beeinflussen</w:t>
            </w:r>
          </w:p>
        </w:tc>
        <w:tc>
          <w:tcPr>
            <w:tcW w:type="dxa" w:w="3213"/>
            <w:shd w:val="clear" w:color="auto" w:fill="F3EFE6"/>
          </w:tcPr>
          <w:p>
            <w:pPr>
              <w:spacing w:after="0" w:before="0"/>
            </w:pPr>
            <w:r/>
            <w:r>
              <w:rPr>
                <w:b w:val="0"/>
                <w:i w:val="0"/>
                <w:color w:val="1A1A1A"/>
                <w:sz w:val="18"/>
              </w:rPr>
              <w:t>Löhne, Unterkunft, Abrechnung bei der Agentur</w:t>
            </w:r>
          </w:p>
        </w:tc>
        <w:tc>
          <w:tcPr>
            <w:tcW w:type="dxa" w:w="3213"/>
            <w:shd w:val="clear" w:color="auto" w:fill="F3EFE6"/>
          </w:tcPr>
          <w:p>
            <w:pPr>
              <w:spacing w:after="0" w:before="0"/>
            </w:pPr>
            <w:r/>
            <w:r>
              <w:rPr>
                <w:b w:val="0"/>
                <w:i w:val="0"/>
                <w:color w:val="1A1A1A"/>
                <w:sz w:val="18"/>
              </w:rPr>
              <w:t>Nachweise verlangen, Bedingungen vereinbaren, prüfen</w:t>
            </w:r>
          </w:p>
        </w:tc>
      </w:tr>
      <w:tr>
        <w:trPr>
          <w:cantSplit w:val="true"/>
        </w:trPr>
        <w:tc>
          <w:tcPr>
            <w:tcW w:type="dxa" w:w="3213"/>
          </w:tcPr>
          <w:p>
            <w:pPr>
              <w:spacing w:after="0" w:before="0"/>
            </w:pPr>
            <w:r/>
            <w:r>
              <w:rPr>
                <w:b w:val="0"/>
                <w:i w:val="0"/>
                <w:color w:val="1A1A1A"/>
                <w:sz w:val="18"/>
              </w:rPr>
              <w:t>ansprechen</w:t>
            </w:r>
          </w:p>
        </w:tc>
        <w:tc>
          <w:tcPr>
            <w:tcW w:type="dxa" w:w="3213"/>
          </w:tcPr>
          <w:p>
            <w:pPr>
              <w:spacing w:after="0" w:before="0"/>
            </w:pPr>
            <w:r/>
            <w:r>
              <w:rPr>
                <w:b w:val="0"/>
                <w:i w:val="0"/>
                <w:color w:val="1A1A1A"/>
                <w:sz w:val="18"/>
              </w:rPr>
              <w:t>Programm des Kunden, Fotos, Zusatzaufgaben für Kinder</w:t>
            </w:r>
          </w:p>
        </w:tc>
        <w:tc>
          <w:tcPr>
            <w:tcW w:type="dxa" w:w="3213"/>
          </w:tcPr>
          <w:p>
            <w:pPr>
              <w:spacing w:after="0" w:before="0"/>
            </w:pPr>
            <w:r/>
            <w:r>
              <w:rPr>
                <w:b w:val="0"/>
                <w:i w:val="0"/>
                <w:color w:val="1A1A1A"/>
                <w:sz w:val="18"/>
              </w:rPr>
              <w:t>sagen, was das Haus nicht mitträgt</w:t>
            </w:r>
          </w:p>
        </w:tc>
      </w:tr>
    </w:tbl>
    <w:p>
      <w:pPr>
        <w:spacing w:after="40"/>
      </w:pPr>
    </w:p>
    <w:p>
      <w:pPr>
        <w:pStyle w:val="Heading2"/>
      </w:pPr>
      <w:r>
        <w:t>Praktische Anwendung: Menschen- und Kinderrechte in die Planung einer Veranstaltung holen in sieben Schritten</w:t>
      </w:r>
    </w:p>
    <w:p>
      <w:pPr>
        <w:tabs>
          <w:tab w:pos="340" w:val="left"/>
        </w:tabs>
        <w:ind w:left="340" w:hanging="340"/>
      </w:pPr>
      <w:r>
        <w:rPr>
          <w:b/>
          <w:color w:val="8C5A2B"/>
        </w:rPr>
        <w:t>1.</w:t>
        <w:tab/>
      </w:r>
      <w:r>
        <w:rPr>
          <w:b/>
        </w:rPr>
        <w:t>Alle Menschen auf die Liste setzen.</w:t>
      </w:r>
      <w:r>
        <w:t xml:space="preserve"> Je Veranstaltung: eigene Mitarbeitende, Leihkräfte, Mitwirkende, Fremdfirmen, Kinder. Neben jeder Gruppe steht, wer sie geholt hat.</w:t>
      </w:r>
    </w:p>
    <w:p>
      <w:pPr>
        <w:tabs>
          <w:tab w:pos="340" w:val="left"/>
        </w:tabs>
        <w:ind w:left="340" w:hanging="340"/>
      </w:pPr>
      <w:r>
        <w:rPr>
          <w:b/>
          <w:color w:val="8C5A2B"/>
        </w:rPr>
        <w:t>2.</w:t>
        <w:tab/>
      </w:r>
      <w:r>
        <w:rPr>
          <w:b/>
        </w:rPr>
        <w:t>Jede Gruppe einem Kreis zuordnen.</w:t>
      </w:r>
      <w:r>
        <w:t xml:space="preserve"> Steuern, beeinflussen oder ansprechen. Im Zweifel prüft das Haus, ob das Recht die Gruppe nicht schon in den inneren Kreis legt.</w:t>
      </w:r>
    </w:p>
    <w:p>
      <w:pPr>
        <w:tabs>
          <w:tab w:pos="340" w:val="left"/>
        </w:tabs>
        <w:ind w:left="340" w:hanging="340"/>
      </w:pPr>
      <w:r>
        <w:rPr>
          <w:b/>
          <w:color w:val="8C5A2B"/>
        </w:rPr>
        <w:t>3.</w:t>
        <w:tab/>
      </w:r>
      <w:r>
        <w:rPr>
          <w:b/>
        </w:rPr>
        <w:t>Bei Kindern den Plan nach den Kindern richten.</w:t>
      </w:r>
      <w:r>
        <w:t xml:space="preserve"> Probe und Auftritt früh, ein eigener Raum, Aufsicht, Essen, Heimweg, keine Aufgaben außer dem Auftritt, Fotos nur mit geklärter Zustimmung. Die Bewilligung oder Meldung lässt sich das Haus zeigen.</w:t>
      </w:r>
    </w:p>
    <w:p>
      <w:pPr>
        <w:tabs>
          <w:tab w:pos="340" w:val="left"/>
        </w:tabs>
        <w:ind w:left="340" w:hanging="340"/>
      </w:pPr>
      <w:r>
        <w:rPr>
          <w:b/>
          <w:color w:val="8C5A2B"/>
        </w:rPr>
        <w:t>4.</w:t>
        <w:tab/>
      </w:r>
      <w:r>
        <w:rPr>
          <w:b/>
        </w:rPr>
        <w:t>Den Vertrag mit der Agentur ergänzen.</w:t>
      </w:r>
      <w:r>
        <w:t xml:space="preserve"> Arbeitszeiten nach den Regeln des Hauses, Abrechnung nach den Stunden des Dienstplans, Unterkunft zu angemessenen Bedingungen, Dokumente bleiben bei den Menschen, Recht des Hauses auf Einsicht.</w:t>
      </w:r>
    </w:p>
    <w:p>
      <w:pPr>
        <w:tabs>
          <w:tab w:pos="340" w:val="left"/>
        </w:tabs>
        <w:ind w:left="340" w:hanging="340"/>
      </w:pPr>
      <w:r>
        <w:rPr>
          <w:b/>
          <w:color w:val="8C5A2B"/>
        </w:rPr>
        <w:t>5.</w:t>
        <w:tab/>
      </w:r>
      <w:r>
        <w:rPr>
          <w:b/>
        </w:rPr>
        <w:t>Einen Meldeweg schaffen.</w:t>
      </w:r>
      <w:r>
        <w:t xml:space="preserve"> Für alle, die im Haus arbeiten, auch ohne Anstellung: mehrsprachig, ohne Namenspflicht, mit einer Person, die antwortet, und einer Frist.</w:t>
      </w:r>
    </w:p>
    <w:p>
      <w:pPr>
        <w:tabs>
          <w:tab w:pos="340" w:val="left"/>
        </w:tabs>
        <w:ind w:left="340" w:hanging="340"/>
      </w:pPr>
      <w:r>
        <w:rPr>
          <w:b/>
          <w:color w:val="8C5A2B"/>
        </w:rPr>
        <w:t>6.</w:t>
        <w:tab/>
      </w:r>
      <w:r>
        <w:rPr>
          <w:b/>
        </w:rPr>
        <w:t>Die Grundsatzerklärung schreiben und unterzeichnen.</w:t>
      </w:r>
      <w:r>
        <w:t xml:space="preserve"> Eine Seite, beschlossen von der Eigentümerschaft, intern und für Lieferanten zugänglich.</w:t>
      </w:r>
    </w:p>
    <w:p>
      <w:pPr>
        <w:tabs>
          <w:tab w:pos="340" w:val="left"/>
        </w:tabs>
        <w:ind w:left="340" w:hanging="340"/>
      </w:pPr>
      <w:r>
        <w:rPr>
          <w:b/>
          <w:color w:val="8C5A2B"/>
        </w:rPr>
        <w:t>7.</w:t>
        <w:tab/>
      </w:r>
      <w:r>
        <w:rPr>
          <w:b/>
        </w:rPr>
        <w:t>Abhilfe vorbereiten.</w:t>
      </w:r>
      <w:r>
        <w:t xml:space="preserve"> Festlegen, was das Haus tut, wenn sich ein Verdacht bestätigt: Schaden beheben helfen, den Meldenden schützen, erst danach über den Lieferanten entscheiden.</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Alle Menschen auf die Liste setzen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Jede Gruppe einem Kreis zuordnen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Bei Kindern den Plan nach den Kindern richten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Den Vertrag mit der Agentur ergänzen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Einen Meldeweg schaffen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Grundsatzerklärung schreiben und unterzeichnen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Abhilfe vorbereiten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Wissen wir bei jeder Veranstaltung, wer alles im Haus arbeitet oder auftritt?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unser Bankettformular ein Feld für mitwirkende Kinder?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Richten wir Probe und Auftritt von Kindern nach ihrem Alter und dem Schultag?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Lassen wir uns Bewilligung oder Meldung für mitwirkende Kinder zeigen?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Planen wir Leihkräfte nach denselben Arbeitszeitregeln wie eigenes Personal?</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Kennen wir Lohn, Unterkunft und Abzüge der Kräfte unserer Agentur?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Gibt es einen Meldeweg für Menschen, die bei uns arbeiten, ohne angestellt zu sein?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die Eigentümerschaft eine Grundsatzerklärung zu Menschen- und Kinderrechten unterzeichnet?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«Wir sind nur der Ort» sagen.</w:t>
      </w:r>
      <w:r>
        <w:t xml:space="preserve"> Was im Haus geschieht, steuert das Haus zu einem großen Teil selbst.</w:t>
      </w:r>
    </w:p>
    <w:p>
      <w:pPr>
        <w:tabs>
          <w:tab w:pos="340" w:val="left"/>
        </w:tabs>
        <w:ind w:left="340" w:hanging="340"/>
      </w:pPr>
      <w:r>
        <w:rPr>
          <w:color w:val="8C5A2B"/>
        </w:rPr>
        <w:t>–</w:t>
        <w:tab/>
      </w:r>
      <w:r>
        <w:rPr>
          <w:b/>
        </w:rPr>
        <w:t>Kinder in eine Lücke des Programms setzen.</w:t>
      </w:r>
      <w:r>
        <w:t xml:space="preserve"> Der Plan folgt dann der Gala, nicht dem Wohl der Kinder.</w:t>
      </w:r>
    </w:p>
    <w:p>
      <w:pPr>
        <w:tabs>
          <w:tab w:pos="340" w:val="left"/>
        </w:tabs>
        <w:ind w:left="340" w:hanging="340"/>
      </w:pPr>
      <w:r>
        <w:rPr>
          <w:color w:val="8C5A2B"/>
        </w:rPr>
        <w:t>–</w:t>
        <w:tab/>
      </w:r>
      <w:r>
        <w:rPr>
          <w:b/>
        </w:rPr>
        <w:t>Kindern Aufgaben geben, die kein Auftritt sind.</w:t>
      </w:r>
      <w:r>
        <w:t xml:space="preserve"> Aus einem Chor werden Helfer des Kunden, ohne dass jemand gefragt hat.</w:t>
      </w:r>
    </w:p>
    <w:p>
      <w:pPr>
        <w:tabs>
          <w:tab w:pos="340" w:val="left"/>
        </w:tabs>
        <w:ind w:left="340" w:hanging="340"/>
      </w:pPr>
      <w:r>
        <w:rPr>
          <w:color w:val="8C5A2B"/>
        </w:rPr>
        <w:t>–</w:t>
        <w:tab/>
      </w:r>
      <w:r>
        <w:rPr>
          <w:b/>
        </w:rPr>
        <w:t>Personal nur nach dem Stundensatz einkaufen.</w:t>
      </w:r>
      <w:r>
        <w:t xml:space="preserve"> Der niedrigste Preis bringt die Bedingungen mit, die ihn möglich machen.</w:t>
      </w:r>
    </w:p>
    <w:p>
      <w:pPr>
        <w:tabs>
          <w:tab w:pos="340" w:val="left"/>
        </w:tabs>
        <w:ind w:left="340" w:hanging="340"/>
      </w:pPr>
      <w:r>
        <w:rPr>
          <w:color w:val="8C5A2B"/>
        </w:rPr>
        <w:t>–</w:t>
        <w:tab/>
      </w:r>
      <w:r>
        <w:rPr>
          <w:b/>
        </w:rPr>
        <w:t>Den eigenen Dienstplan vergessen.</w:t>
      </w:r>
      <w:r>
        <w:t xml:space="preserve"> Die langen Tage der Leihkräfte hat oft das Haus selbst eingeteilt.</w:t>
      </w:r>
    </w:p>
    <w:p>
      <w:pPr>
        <w:tabs>
          <w:tab w:pos="340" w:val="left"/>
        </w:tabs>
        <w:ind w:left="340" w:hanging="340"/>
      </w:pPr>
      <w:r>
        <w:rPr>
          <w:color w:val="8C5A2B"/>
        </w:rPr>
        <w:t>–</w:t>
        <w:tab/>
      </w:r>
      <w:r>
        <w:rPr>
          <w:b/>
        </w:rPr>
        <w:t>Bei einem Verdacht nur die Agentur wechseln.</w:t>
      </w:r>
      <w:r>
        <w:t xml:space="preserve"> Das schützt das Haus und lässt den Menschen zurück.</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Umsatz der Weihnachtsgala</w:t>
            </w:r>
          </w:p>
        </w:tc>
        <w:tc>
          <w:tcPr>
            <w:tcW w:type="dxa" w:w="1474"/>
          </w:tcPr>
          <w:p>
            <w:pPr>
              <w:spacing w:after="0" w:before="0"/>
            </w:pPr>
            <w:r/>
            <w:r>
              <w:rPr>
                <w:b w:val="0"/>
                <w:i w:val="0"/>
                <w:color w:val="1A1A1A"/>
                <w:sz w:val="18"/>
              </w:rPr>
              <w:t>€ 68.000</w:t>
            </w:r>
          </w:p>
        </w:tc>
        <w:tc>
          <w:tcPr>
            <w:tcW w:type="dxa" w:w="3175"/>
          </w:tcPr>
          <w:p>
            <w:pPr>
              <w:spacing w:after="0" w:before="0"/>
            </w:pPr>
            <w:r/>
            <w:r>
              <w:rPr>
                <w:b w:val="0"/>
                <w:i w:val="0"/>
                <w:color w:val="1A1A1A"/>
                <w:sz w:val="18"/>
              </w:rPr>
              <w:t>380 Gäste, Saal, vier Gänge, Getränke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Agenturkräfte: 19 × 9 Stunden × € 29</w:t>
            </w:r>
          </w:p>
        </w:tc>
        <w:tc>
          <w:tcPr>
            <w:tcW w:type="dxa" w:w="1474"/>
            <w:shd w:val="clear" w:color="auto" w:fill="F3EFE6"/>
          </w:tcPr>
          <w:p>
            <w:pPr>
              <w:spacing w:after="0" w:before="0"/>
            </w:pPr>
            <w:r/>
            <w:r>
              <w:rPr>
                <w:b w:val="0"/>
                <w:i w:val="0"/>
                <w:color w:val="1A1A1A"/>
                <w:sz w:val="18"/>
              </w:rPr>
              <w:t>€ 4.959</w:t>
            </w:r>
          </w:p>
        </w:tc>
        <w:tc>
          <w:tcPr>
            <w:tcW w:type="dxa" w:w="3175"/>
            <w:shd w:val="clear" w:color="auto" w:fill="F3EFE6"/>
          </w:tcPr>
          <w:p>
            <w:pPr>
              <w:spacing w:after="0" w:before="0"/>
            </w:pPr>
            <w:r/>
            <w:r>
              <w:rPr>
                <w:b w:val="0"/>
                <w:i w:val="0"/>
                <w:color w:val="1A1A1A"/>
                <w:sz w:val="18"/>
              </w:rPr>
              <w:t>bisheriger Satz</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Mehrpreis für geprüfte Bedingungen: € 3 je Stunde</w:t>
            </w:r>
          </w:p>
        </w:tc>
        <w:tc>
          <w:tcPr>
            <w:tcW w:type="dxa" w:w="1474"/>
          </w:tcPr>
          <w:p>
            <w:pPr>
              <w:spacing w:after="0" w:before="0"/>
            </w:pPr>
            <w:r/>
            <w:r>
              <w:rPr>
                <w:b w:val="0"/>
                <w:i w:val="0"/>
                <w:color w:val="1A1A1A"/>
                <w:sz w:val="18"/>
              </w:rPr>
              <w:t>€ 513</w:t>
            </w:r>
          </w:p>
        </w:tc>
        <w:tc>
          <w:tcPr>
            <w:tcW w:type="dxa" w:w="3175"/>
          </w:tcPr>
          <w:p>
            <w:pPr>
              <w:spacing w:after="0" w:before="0"/>
            </w:pPr>
            <w:r/>
            <w:r>
              <w:rPr>
                <w:b w:val="0"/>
                <w:i w:val="0"/>
                <w:color w:val="1A1A1A"/>
                <w:sz w:val="18"/>
              </w:rPr>
              <w:t>je Gala dieser Größe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Betreuung des Chors, zwei Personen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Probe und Auftritt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Grundsatzerklärung und Agenturvertrag</w:t>
            </w:r>
          </w:p>
        </w:tc>
        <w:tc>
          <w:tcPr>
            <w:tcW w:type="dxa" w:w="1474"/>
          </w:tcPr>
          <w:p>
            <w:pPr>
              <w:spacing w:after="0" w:before="0"/>
            </w:pPr>
            <w:r/>
            <w:r>
              <w:rPr>
                <w:b w:val="0"/>
                <w:i w:val="0"/>
                <w:color w:val="1A1A1A"/>
                <w:sz w:val="18"/>
              </w:rPr>
              <w:t>20 Stunden</w:t>
            </w:r>
          </w:p>
        </w:tc>
        <w:tc>
          <w:tcPr>
            <w:tcW w:type="dxa" w:w="3175"/>
          </w:tcPr>
          <w:p>
            <w:pPr>
              <w:spacing w:after="0" w:before="0"/>
            </w:pPr>
            <w:r/>
            <w:r>
              <w:rPr>
                <w:b w:val="0"/>
                <w:i w:val="0"/>
                <w:color w:val="1A1A1A"/>
                <w:sz w:val="18"/>
              </w:rPr>
              <w:t>einmalig, Eigentümerin, Direktor, Bankettleitung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Meldeweg einrichten, mehrsprachig</w:t>
            </w:r>
          </w:p>
        </w:tc>
        <w:tc>
          <w:tcPr>
            <w:tcW w:type="dxa" w:w="1474"/>
            <w:shd w:val="clear" w:color="auto" w:fill="F3EFE6"/>
          </w:tcPr>
          <w:p>
            <w:pPr>
              <w:spacing w:after="0" w:before="0"/>
            </w:pPr>
            <w:r/>
            <w:r>
              <w:rPr>
                <w:b w:val="0"/>
                <w:i w:val="0"/>
                <w:color w:val="1A1A1A"/>
                <w:sz w:val="18"/>
              </w:rPr>
              <w:t>12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dass die Achtung von Menschen- und Kinderrechten bei einem Fest dieser Größe weniger als ein Prozent des Umsatzes kostet. Sie behauptet nicht, dass eine teurere Agentur von selbst gute Bedingungen bietet. Der Mehrpreis ist nur etwas wert, wenn das Haus die Nachweise sieht.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Soziale Themen identifizieren und bewerten, auch beeinflussbare (6.1.2)</w:t>
            </w:r>
          </w:p>
        </w:tc>
        <w:tc>
          <w:tcPr>
            <w:tcW w:type="dxa" w:w="3175"/>
          </w:tcPr>
          <w:p>
            <w:pPr>
              <w:spacing w:after="0" w:before="0"/>
            </w:pPr>
            <w:r/>
            <w:r>
              <w:rPr>
                <w:b w:val="0"/>
                <w:i w:val="0"/>
                <w:color w:val="1A1A1A"/>
                <w:sz w:val="18"/>
              </w:rPr>
              <w:t>Themenliste mit Kinderrechten und Bedingungen der Leihkräfte</w:t>
            </w:r>
          </w:p>
        </w:tc>
        <w:tc>
          <w:tcPr>
            <w:tcW w:type="dxa" w:w="3175"/>
          </w:tcPr>
          <w:p>
            <w:pPr>
              <w:spacing w:after="0" w:before="0"/>
            </w:pPr>
            <w:r/>
            <w:r>
              <w:rPr>
                <w:b w:val="0"/>
                <w:i w:val="0"/>
                <w:color w:val="1A1A1A"/>
                <w:sz w:val="18"/>
              </w:rPr>
              <w:t>Tabelle C.1; Anhang D</w:t>
            </w:r>
          </w:p>
        </w:tc>
      </w:tr>
      <w:tr>
        <w:trPr>
          <w:cantSplit w:val="true"/>
        </w:trPr>
        <w:tc>
          <w:tcPr>
            <w:tcW w:type="dxa" w:w="3288"/>
            <w:shd w:val="clear" w:color="auto" w:fill="F3EFE6"/>
          </w:tcPr>
          <w:p>
            <w:pPr>
              <w:spacing w:after="0" w:before="0"/>
            </w:pPr>
            <w:r/>
            <w:r>
              <w:rPr>
                <w:b w:val="0"/>
                <w:i w:val="0"/>
                <w:color w:val="1A1A1A"/>
                <w:sz w:val="18"/>
              </w:rPr>
              <w:t>Interessierte Parteien und ihre Anforderungen bestimmen (4.2)</w:t>
            </w:r>
          </w:p>
        </w:tc>
        <w:tc>
          <w:tcPr>
            <w:tcW w:type="dxa" w:w="3175"/>
            <w:shd w:val="clear" w:color="auto" w:fill="F3EFE6"/>
          </w:tcPr>
          <w:p>
            <w:pPr>
              <w:spacing w:after="0" w:before="0"/>
            </w:pPr>
            <w:r/>
            <w:r>
              <w:rPr>
                <w:b w:val="0"/>
                <w:i w:val="0"/>
                <w:color w:val="1A1A1A"/>
                <w:sz w:val="18"/>
              </w:rPr>
              <w:t>Liste aller Menschen im Haus je Veranstaltung</w:t>
            </w:r>
          </w:p>
        </w:tc>
        <w:tc>
          <w:tcPr>
            <w:tcW w:type="dxa" w:w="3175"/>
            <w:shd w:val="clear" w:color="auto" w:fill="F3EFE6"/>
          </w:tcPr>
          <w:p>
            <w:pPr>
              <w:spacing w:after="0" w:before="0"/>
            </w:pPr>
            <w:r/>
            <w:r>
              <w:rPr>
                <w:b w:val="0"/>
                <w:i w:val="0"/>
                <w:color w:val="1A1A1A"/>
                <w:sz w:val="18"/>
              </w:rPr>
              <w:t>A.1: Wanderarbeitnehmer, Kinder unter 18</w:t>
            </w:r>
          </w:p>
        </w:tc>
      </w:tr>
      <w:tr>
        <w:trPr>
          <w:cantSplit w:val="true"/>
        </w:trPr>
        <w:tc>
          <w:tcPr>
            <w:tcW w:type="dxa" w:w="3288"/>
          </w:tcPr>
          <w:p>
            <w:pPr>
              <w:spacing w:after="0" w:before="0"/>
            </w:pPr>
            <w:r/>
            <w:r>
              <w:rPr>
                <w:b w:val="0"/>
                <w:i w:val="0"/>
                <w:color w:val="1A1A1A"/>
                <w:sz w:val="18"/>
              </w:rPr>
              <w:t>Risiken und Chancen planen, Leitprinzipien stärken (6.1.1)</w:t>
            </w:r>
          </w:p>
        </w:tc>
        <w:tc>
          <w:tcPr>
            <w:tcW w:type="dxa" w:w="3175"/>
          </w:tcPr>
          <w:p>
            <w:pPr>
              <w:spacing w:after="0" w:before="0"/>
            </w:pPr>
            <w:r/>
            <w:r>
              <w:rPr>
                <w:b w:val="0"/>
                <w:i w:val="0"/>
                <w:color w:val="1A1A1A"/>
                <w:sz w:val="18"/>
              </w:rPr>
              <w:t>Blatt für Veranstaltungen mit Kindern</w:t>
            </w:r>
          </w:p>
        </w:tc>
        <w:tc>
          <w:tcPr>
            <w:tcW w:type="dxa" w:w="3175"/>
          </w:tcPr>
          <w:p>
            <w:pPr>
              <w:spacing w:after="0" w:before="0"/>
            </w:pPr>
            <w:r/>
            <w:r>
              <w:rPr>
                <w:b w:val="0"/>
                <w:i w:val="0"/>
                <w:color w:val="1A1A1A"/>
                <w:sz w:val="18"/>
              </w:rPr>
              <w:t>Anhang D zur Abhilfe</w:t>
            </w:r>
          </w:p>
        </w:tc>
      </w:tr>
      <w:tr>
        <w:trPr>
          <w:cantSplit w:val="true"/>
        </w:trPr>
        <w:tc>
          <w:tcPr>
            <w:tcW w:type="dxa" w:w="3288"/>
            <w:shd w:val="clear" w:color="auto" w:fill="F3EFE6"/>
          </w:tcPr>
          <w:p>
            <w:pPr>
              <w:spacing w:after="0" w:before="0"/>
            </w:pPr>
            <w:r/>
            <w:r>
              <w:rPr>
                <w:b w:val="0"/>
                <w:i w:val="0"/>
                <w:color w:val="1A1A1A"/>
                <w:sz w:val="18"/>
              </w:rPr>
              <w:t>Kriterien und Nachweise bei Lieferanten (8.3)</w:t>
            </w:r>
          </w:p>
        </w:tc>
        <w:tc>
          <w:tcPr>
            <w:tcW w:type="dxa" w:w="3175"/>
            <w:shd w:val="clear" w:color="auto" w:fill="F3EFE6"/>
          </w:tcPr>
          <w:p>
            <w:pPr>
              <w:spacing w:after="0" w:before="0"/>
            </w:pPr>
            <w:r/>
            <w:r>
              <w:rPr>
                <w:b w:val="0"/>
                <w:i w:val="0"/>
                <w:color w:val="1A1A1A"/>
                <w:sz w:val="18"/>
              </w:rPr>
              <w:t>Agenturvertrag mit Arbeitszeit, Unterkunft, Dokumenten</w:t>
            </w:r>
          </w:p>
        </w:tc>
        <w:tc>
          <w:tcPr>
            <w:tcW w:type="dxa" w:w="3175"/>
            <w:shd w:val="clear" w:color="auto" w:fill="F3EFE6"/>
          </w:tcPr>
          <w:p>
            <w:pPr>
              <w:spacing w:after="0" w:before="0"/>
            </w:pPr>
            <w:r/>
            <w:r>
              <w:rPr>
                <w:b w:val="0"/>
                <w:i w:val="0"/>
                <w:color w:val="1A1A1A"/>
                <w:sz w:val="18"/>
              </w:rPr>
              <w:t>Anhang B; Sorgfaltsprüfung nach UN-Leitprinzipien</w:t>
            </w:r>
          </w:p>
        </w:tc>
      </w:tr>
      <w:tr>
        <w:trPr>
          <w:cantSplit w:val="true"/>
        </w:trPr>
        <w:tc>
          <w:tcPr>
            <w:tcW w:type="dxa" w:w="3288"/>
          </w:tcPr>
          <w:p>
            <w:pPr>
              <w:spacing w:after="0" w:before="0"/>
            </w:pPr>
            <w:r/>
            <w:r>
              <w:rPr>
                <w:b w:val="0"/>
                <w:i w:val="0"/>
                <w:color w:val="1A1A1A"/>
                <w:sz w:val="18"/>
              </w:rPr>
              <w:t>Leitprinzipien im Leitbild (4.5)</w:t>
            </w:r>
          </w:p>
        </w:tc>
        <w:tc>
          <w:tcPr>
            <w:tcW w:type="dxa" w:w="3175"/>
          </w:tcPr>
          <w:p>
            <w:pPr>
              <w:spacing w:after="0" w:before="0"/>
            </w:pPr>
            <w:r/>
            <w:r>
              <w:rPr>
                <w:b w:val="0"/>
                <w:i w:val="0"/>
                <w:color w:val="1A1A1A"/>
                <w:sz w:val="18"/>
              </w:rPr>
              <w:t>unterzeichnete Grundsatzerklärung</w:t>
            </w:r>
          </w:p>
        </w:tc>
        <w:tc>
          <w:tcPr>
            <w:tcW w:type="dxa" w:w="3175"/>
          </w:tcPr>
          <w:p>
            <w:pPr>
              <w:spacing w:after="0" w:before="0"/>
            </w:pPr>
            <w:r/>
            <w:r>
              <w:rPr>
                <w:b w:val="0"/>
                <w:i w:val="0"/>
                <w:color w:val="1A1A1A"/>
                <w:sz w:val="18"/>
              </w:rPr>
              <w:t>D: Grundsatzerklärung als erstes Kernelement</w:t>
            </w:r>
          </w:p>
        </w:tc>
      </w:tr>
    </w:tbl>
    <w:p>
      <w:pPr>
        <w:spacing w:after="40"/>
      </w:pPr>
    </w:p>
    <w:p>
      <w:pPr>
        <w:pStyle w:val="Heading2"/>
      </w:pPr>
      <w:r>
        <w:t>DACH-Anker: Kinder bei Auftritten und Leihkräfte im Betrieb</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Kinder bei Musikaufführungen</w:t>
            </w:r>
          </w:p>
        </w:tc>
        <w:tc>
          <w:tcPr>
            <w:tcW w:type="dxa" w:w="2721"/>
          </w:tcPr>
          <w:p>
            <w:pPr>
              <w:spacing w:after="0" w:before="0"/>
            </w:pPr>
            <w:r/>
            <w:r>
              <w:rPr>
                <w:b w:val="0"/>
                <w:i w:val="0"/>
                <w:color w:val="1A1A1A"/>
                <w:sz w:val="17"/>
              </w:rPr>
              <w:t>Bewilligung der Aufsichtsbehörde nach Anhörung des Jugendamts; über sechs Jahre bis drei Stunden, 8 bis 22 Uhr (§ 6 JArbSchG)</w:t>
            </w:r>
          </w:p>
        </w:tc>
        <w:tc>
          <w:tcPr>
            <w:tcW w:type="dxa" w:w="2721"/>
          </w:tcPr>
          <w:p>
            <w:pPr>
              <w:spacing w:after="0" w:before="0"/>
            </w:pPr>
            <w:r/>
            <w:r>
              <w:rPr>
                <w:b w:val="0"/>
                <w:i w:val="0"/>
                <w:color w:val="1A1A1A"/>
                <w:sz w:val="17"/>
              </w:rPr>
              <w:t>Bewilligung des Landeshauptmanns oder der ermächtigten Bezirksverwaltungsbehörde (§ 6 KJBG); 8 bis 23 Uhr, einschließlich Weg (§ 7 Abs. 2 KJBG)</w:t>
            </w:r>
          </w:p>
        </w:tc>
        <w:tc>
          <w:tcPr>
            <w:tcW w:type="dxa" w:w="2721"/>
          </w:tcPr>
          <w:p>
            <w:pPr>
              <w:spacing w:after="0" w:before="0"/>
            </w:pPr>
            <w:r/>
            <w:r>
              <w:rPr>
                <w:b w:val="0"/>
                <w:i w:val="0"/>
                <w:color w:val="1A1A1A"/>
                <w:sz w:val="17"/>
              </w:rPr>
              <w:t>Meldung an die kantonale Behörde mindestens 14 Tage vorher (Art. 7 Abs. 2 ArGV 5)</w:t>
            </w:r>
          </w:p>
        </w:tc>
      </w:tr>
      <w:tr>
        <w:trPr>
          <w:cantSplit w:val="true"/>
        </w:trPr>
        <w:tc>
          <w:tcPr>
            <w:tcW w:type="dxa" w:w="1474"/>
            <w:shd w:val="clear" w:color="auto" w:fill="F3EFE6"/>
          </w:tcPr>
          <w:p>
            <w:pPr>
              <w:spacing w:after="0" w:before="0"/>
            </w:pPr>
            <w:r/>
            <w:r>
              <w:rPr>
                <w:b w:val="0"/>
                <w:i w:val="0"/>
                <w:color w:val="1A1A1A"/>
                <w:sz w:val="17"/>
              </w:rPr>
              <w:t>Arbeitsschutz für Leihkräfte</w:t>
            </w:r>
          </w:p>
        </w:tc>
        <w:tc>
          <w:tcPr>
            <w:tcW w:type="dxa" w:w="2721"/>
            <w:shd w:val="clear" w:color="auto" w:fill="F3EFE6"/>
          </w:tcPr>
          <w:p>
            <w:pPr>
              <w:spacing w:after="0" w:before="0"/>
            </w:pPr>
            <w:r/>
            <w:r>
              <w:rPr>
                <w:b w:val="0"/>
                <w:i w:val="0"/>
                <w:color w:val="1A1A1A"/>
                <w:sz w:val="17"/>
              </w:rPr>
              <w:t>Pflichten treffen auch den Entleiher (§ 11 Abs. 6 AÜG)</w:t>
            </w:r>
          </w:p>
        </w:tc>
        <w:tc>
          <w:tcPr>
            <w:tcW w:type="dxa" w:w="2721"/>
            <w:shd w:val="clear" w:color="auto" w:fill="F3EFE6"/>
          </w:tcPr>
          <w:p>
            <w:pPr>
              <w:spacing w:after="0" w:before="0"/>
            </w:pPr>
            <w:r/>
            <w:r>
              <w:rPr>
                <w:b w:val="0"/>
                <w:i w:val="0"/>
                <w:color w:val="1A1A1A"/>
                <w:sz w:val="17"/>
              </w:rPr>
              <w:t>Beschäftiger gilt als Arbeitgeber, auch Fürsorgepflichten (§ 6 AÜG)</w:t>
            </w:r>
          </w:p>
        </w:tc>
        <w:tc>
          <w:tcPr>
            <w:tcW w:type="dxa" w:w="2721"/>
            <w:shd w:val="clear" w:color="auto" w:fill="F3EFE6"/>
          </w:tcPr>
          <w:p>
            <w:pPr>
              <w:spacing w:after="0" w:before="0"/>
            </w:pPr>
            <w:r/>
            <w:r>
              <w:rPr>
                <w:b w:val="0"/>
                <w:i w:val="0"/>
                <w:color w:val="1A1A1A"/>
                <w:sz w:val="17"/>
              </w:rPr>
              <w:t>gleiche Pflichten wie für eigene Arbeitnehmer (Art. 10 VUV)</w:t>
            </w:r>
          </w:p>
        </w:tc>
      </w:tr>
      <w:tr>
        <w:trPr>
          <w:cantSplit w:val="true"/>
        </w:trPr>
        <w:tc>
          <w:tcPr>
            <w:tcW w:type="dxa" w:w="1474"/>
          </w:tcPr>
          <w:p>
            <w:pPr>
              <w:spacing w:after="0" w:before="0"/>
            </w:pPr>
            <w:r/>
            <w:r>
              <w:rPr>
                <w:b w:val="0"/>
                <w:i w:val="0"/>
                <w:color w:val="1A1A1A"/>
                <w:sz w:val="17"/>
              </w:rPr>
              <w:t>Lohn der Leihkräfte</w:t>
            </w:r>
          </w:p>
        </w:tc>
        <w:tc>
          <w:tcPr>
            <w:tcW w:type="dxa" w:w="2721"/>
          </w:tcPr>
          <w:p>
            <w:pPr>
              <w:spacing w:after="0" w:before="0"/>
            </w:pPr>
            <w:r/>
            <w:r>
              <w:rPr>
                <w:b w:val="0"/>
                <w:i w:val="0"/>
                <w:color w:val="1A1A1A"/>
                <w:sz w:val="17"/>
              </w:rPr>
              <w:t>im Rechtskataster prüfen (1.12)</w:t>
            </w:r>
          </w:p>
        </w:tc>
        <w:tc>
          <w:tcPr>
            <w:tcW w:type="dxa" w:w="2721"/>
          </w:tcPr>
          <w:p>
            <w:pPr>
              <w:spacing w:after="0" w:before="0"/>
            </w:pPr>
            <w:r/>
            <w:r>
              <w:rPr>
                <w:b w:val="0"/>
                <w:i w:val="0"/>
                <w:color w:val="1A1A1A"/>
                <w:sz w:val="17"/>
              </w:rPr>
              <w:t>Beschäftiger haftet als Bürge für das Entgelt (§ 14 AÜG)</w:t>
            </w:r>
          </w:p>
        </w:tc>
        <w:tc>
          <w:tcPr>
            <w:tcW w:type="dxa" w:w="2721"/>
          </w:tcPr>
          <w:p>
            <w:pPr>
              <w:spacing w:after="0" w:before="0"/>
            </w:pPr>
            <w:r/>
            <w:r>
              <w:rPr>
                <w:b w:val="0"/>
                <w:i w:val="0"/>
                <w:color w:val="1A1A1A"/>
                <w:sz w:val="17"/>
              </w:rPr>
              <w:t>im Rechtskataster prüfen (1.12)</w:t>
            </w:r>
          </w:p>
        </w:tc>
      </w:tr>
      <w:tr>
        <w:trPr>
          <w:cantSplit w:val="true"/>
        </w:trPr>
        <w:tc>
          <w:tcPr>
            <w:tcW w:type="dxa" w:w="1474"/>
            <w:shd w:val="clear" w:color="auto" w:fill="F3EFE6"/>
          </w:tcPr>
          <w:p>
            <w:pPr>
              <w:spacing w:after="0" w:before="0"/>
            </w:pPr>
            <w:r/>
            <w:r>
              <w:rPr>
                <w:b w:val="0"/>
                <w:i w:val="0"/>
                <w:color w:val="1A1A1A"/>
                <w:sz w:val="17"/>
              </w:rPr>
              <w:t>Beschäftigung aus Drittstaaten</w:t>
            </w:r>
          </w:p>
        </w:tc>
        <w:tc>
          <w:tcPr>
            <w:tcW w:type="dxa" w:w="2721"/>
            <w:shd w:val="clear" w:color="auto" w:fill="F3EFE6"/>
          </w:tcPr>
          <w:p>
            <w:pPr>
              <w:spacing w:after="0" w:before="0"/>
            </w:pPr>
            <w:r/>
            <w:r>
              <w:rPr>
                <w:b w:val="0"/>
                <w:i w:val="0"/>
                <w:color w:val="1A1A1A"/>
                <w:sz w:val="17"/>
              </w:rPr>
              <w:t>im Rechtskataster prüfen (1.12)</w:t>
            </w:r>
          </w:p>
        </w:tc>
        <w:tc>
          <w:tcPr>
            <w:tcW w:type="dxa" w:w="2721"/>
            <w:shd w:val="clear" w:color="auto" w:fill="F3EFE6"/>
          </w:tcPr>
          <w:p>
            <w:pPr>
              <w:spacing w:after="0" w:before="0"/>
            </w:pPr>
            <w:r/>
            <w:r>
              <w:rPr>
                <w:b w:val="0"/>
                <w:i w:val="0"/>
                <w:color w:val="1A1A1A"/>
                <w:sz w:val="17"/>
              </w:rPr>
              <w:t>Beschäftiger ist Arbeitgebern gleichgestellt (§ 2 Abs. 3 AuslBG)</w:t>
            </w:r>
          </w:p>
        </w:tc>
        <w:tc>
          <w:tcPr>
            <w:tcW w:type="dxa" w:w="2721"/>
            <w:shd w:val="clear" w:color="auto" w:fill="F3EFE6"/>
          </w:tcPr>
          <w:p>
            <w:pPr>
              <w:spacing w:after="0" w:before="0"/>
            </w:pPr>
            <w:r/>
            <w:r>
              <w:rPr>
                <w:b w:val="0"/>
                <w:i w:val="0"/>
                <w:color w:val="1A1A1A"/>
                <w:sz w:val="17"/>
              </w:rPr>
              <w:t>im Rechtskataster prüfen (1.12)</w:t>
            </w:r>
          </w:p>
        </w:tc>
      </w:tr>
      <w:tr>
        <w:trPr>
          <w:cantSplit w:val="true"/>
        </w:trPr>
        <w:tc>
          <w:tcPr>
            <w:tcW w:type="dxa" w:w="1474"/>
          </w:tcPr>
          <w:p>
            <w:pPr>
              <w:spacing w:after="0" w:before="0"/>
            </w:pPr>
            <w:r/>
            <w:r>
              <w:rPr>
                <w:b w:val="0"/>
                <w:i w:val="0"/>
                <w:color w:val="1A1A1A"/>
                <w:sz w:val="17"/>
              </w:rPr>
              <w:t>Sorgfalt in Lieferketten</w:t>
            </w:r>
          </w:p>
        </w:tc>
        <w:tc>
          <w:tcPr>
            <w:tcW w:type="dxa" w:w="2721"/>
          </w:tcPr>
          <w:p>
            <w:pPr>
              <w:spacing w:after="0" w:before="0"/>
            </w:pPr>
            <w:r/>
            <w:r>
              <w:rPr>
                <w:b w:val="0"/>
                <w:i w:val="0"/>
                <w:color w:val="1A1A1A"/>
                <w:sz w:val="17"/>
              </w:rPr>
              <w:t>LkSG ab 1.000 Beschäftigten; Hotel meist als Lieferant betroffen</w:t>
            </w:r>
          </w:p>
        </w:tc>
        <w:tc>
          <w:tcPr>
            <w:tcW w:type="dxa" w:w="2721"/>
          </w:tcPr>
          <w:p>
            <w:pPr>
              <w:spacing w:after="0" w:before="0"/>
            </w:pPr>
            <w:r/>
            <w:r>
              <w:rPr>
                <w:b w:val="0"/>
                <w:i w:val="0"/>
                <w:color w:val="1A1A1A"/>
                <w:sz w:val="17"/>
              </w:rPr>
              <w:t>EU-Richtlinie nach Omnibus I künftig nur für sehr große Unternehmen; Umsetzung bis Juli 2028, Anwendung ab Juli 2029</w:t>
            </w:r>
          </w:p>
        </w:tc>
        <w:tc>
          <w:tcPr>
            <w:tcW w:type="dxa" w:w="2721"/>
          </w:tcPr>
          <w:p>
            <w:pPr>
              <w:spacing w:after="0" w:before="0"/>
            </w:pPr>
            <w:r/>
            <w:r>
              <w:rPr>
                <w:b w:val="0"/>
                <w:i w:val="0"/>
                <w:color w:val="1A1A1A"/>
                <w:sz w:val="17"/>
              </w:rPr>
              <w:t>Prüfpflicht zu Kinderarbeit (Art. 964j ff. OR), mit Ausnahmen u. a. für KMU (Art. 5–7 VSoTr); nicht bei offensichtlicher Kinderarbeit (Art. 8 VSoTr)</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1.15.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1.15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1.15 — Menschen- und Kinderrechte in die Planung holen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