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1.2</w:t>
      </w:r>
    </w:p>
    <w:p>
      <w:pPr>
        <w:pStyle w:val="Heading1"/>
      </w:pPr>
      <w:r>
        <w:t>Eine Veranstaltung als System aufnehmen</w:t>
      </w:r>
    </w:p>
    <w:p>
      <w:pPr>
        <w:spacing w:after="0"/>
      </w:pPr>
      <w:r>
        <w:rPr>
          <w:b w:val="0"/>
          <w:i/>
          <w:color w:val="5A5A5A"/>
        </w:rPr>
        <w:t>Abschnitt 1.2 · Die Veranstaltung als System: Rollen, Zyklus und Schnittstellen</w:t>
      </w:r>
    </w:p>
    <w:p>
      <w:pPr>
        <w:spacing w:after="160"/>
      </w:pPr>
      <w:r>
        <w:rPr>
          <w:b w:val="0"/>
          <w:i w:val="0"/>
          <w:color w:val="5A5A5A"/>
          <w:sz w:val="18"/>
        </w:rPr>
        <w:t>Modellfall im Buch: Würzburg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in Ihrem Haus eine Hochzeit gefeiert wird: Wissen Sie, in welchen Rollen Ihr Haus an diesem Fest beteiligt ist, und seit wann es eigentlich läuft? Und wer ist zuständig für die Stunde, in der die Musik endet und die Busse vor dem Tor stehen?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Zyklus einer Hochzeit im Weinguthotel</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Phase</w:t>
            </w:r>
          </w:p>
        </w:tc>
        <w:tc>
          <w:tcPr>
            <w:tcW w:type="dxa" w:w="3213"/>
            <w:shd w:val="clear" w:color="auto" w:fill="8C5A2B"/>
          </w:tcPr>
          <w:p>
            <w:pPr>
              <w:spacing w:after="0" w:before="0"/>
            </w:pPr>
            <w:r/>
            <w:r>
              <w:rPr>
                <w:b/>
                <w:i w:val="0"/>
                <w:color w:val="FFFFFF"/>
                <w:sz w:val="18"/>
              </w:rPr>
              <w:t>Was dort entschieden wird</w:t>
            </w:r>
          </w:p>
        </w:tc>
        <w:tc>
          <w:tcPr>
            <w:tcW w:type="dxa" w:w="3213"/>
            <w:shd w:val="clear" w:color="auto" w:fill="8C5A2B"/>
          </w:tcPr>
          <w:p>
            <w:pPr>
              <w:spacing w:after="0" w:before="0"/>
            </w:pPr>
            <w:r/>
            <w:r>
              <w:rPr>
                <w:b/>
                <w:i w:val="0"/>
                <w:color w:val="FFFFFF"/>
                <w:sz w:val="18"/>
              </w:rPr>
              <w:t>Wer am Tisch sitzen müsste</w:t>
            </w:r>
          </w:p>
        </w:tc>
      </w:tr>
      <w:tr>
        <w:trPr>
          <w:cantSplit w:val="true"/>
        </w:trPr>
        <w:tc>
          <w:tcPr>
            <w:tcW w:type="dxa" w:w="3213"/>
          </w:tcPr>
          <w:p>
            <w:pPr>
              <w:spacing w:after="0" w:before="0"/>
            </w:pPr>
            <w:r/>
            <w:r>
              <w:rPr>
                <w:b w:val="0"/>
                <w:i w:val="0"/>
                <w:color w:val="1A1A1A"/>
                <w:sz w:val="18"/>
              </w:rPr>
              <w:t>Anfrage und Buchung, etwa 14 Monate vorher</w:t>
            </w:r>
          </w:p>
        </w:tc>
        <w:tc>
          <w:tcPr>
            <w:tcW w:type="dxa" w:w="3213"/>
          </w:tcPr>
          <w:p>
            <w:pPr>
              <w:spacing w:after="0" w:before="0"/>
            </w:pPr>
            <w:r/>
            <w:r>
              <w:rPr>
                <w:b w:val="0"/>
                <w:i w:val="0"/>
                <w:color w:val="1A1A1A"/>
                <w:sz w:val="18"/>
              </w:rPr>
              <w:t>Datum, Gästezahl, Unterkunft der Gäste, Paket</w:t>
            </w:r>
          </w:p>
        </w:tc>
        <w:tc>
          <w:tcPr>
            <w:tcW w:type="dxa" w:w="3213"/>
          </w:tcPr>
          <w:p>
            <w:pPr>
              <w:spacing w:after="0" w:before="0"/>
            </w:pPr>
            <w:r/>
            <w:r>
              <w:rPr>
                <w:b w:val="0"/>
                <w:i w:val="0"/>
                <w:color w:val="1A1A1A"/>
                <w:sz w:val="18"/>
              </w:rPr>
              <w:t>Brautpaar, Planerin, Verkauf</w:t>
            </w:r>
          </w:p>
        </w:tc>
      </w:tr>
      <w:tr>
        <w:trPr>
          <w:cantSplit w:val="true"/>
        </w:trPr>
        <w:tc>
          <w:tcPr>
            <w:tcW w:type="dxa" w:w="3213"/>
            <w:shd w:val="clear" w:color="auto" w:fill="F3EFE6"/>
          </w:tcPr>
          <w:p>
            <w:pPr>
              <w:spacing w:after="0" w:before="0"/>
            </w:pPr>
            <w:r/>
            <w:r>
              <w:rPr>
                <w:b w:val="0"/>
                <w:i w:val="0"/>
                <w:color w:val="1A1A1A"/>
                <w:sz w:val="18"/>
              </w:rPr>
              <w:t>Planung, bis etwa 2 Monate vorher</w:t>
            </w:r>
          </w:p>
        </w:tc>
        <w:tc>
          <w:tcPr>
            <w:tcW w:type="dxa" w:w="3213"/>
            <w:shd w:val="clear" w:color="auto" w:fill="F3EFE6"/>
          </w:tcPr>
          <w:p>
            <w:pPr>
              <w:spacing w:after="0" w:before="0"/>
            </w:pPr>
            <w:r/>
            <w:r>
              <w:rPr>
                <w:b w:val="0"/>
                <w:i w:val="0"/>
                <w:color w:val="1A1A1A"/>
                <w:sz w:val="18"/>
              </w:rPr>
              <w:t>Menü, Wein, Floristik, Musik, Busse</w:t>
            </w:r>
          </w:p>
        </w:tc>
        <w:tc>
          <w:tcPr>
            <w:tcW w:type="dxa" w:w="3213"/>
            <w:shd w:val="clear" w:color="auto" w:fill="F3EFE6"/>
          </w:tcPr>
          <w:p>
            <w:pPr>
              <w:spacing w:after="0" w:before="0"/>
            </w:pPr>
            <w:r/>
            <w:r>
              <w:rPr>
                <w:b w:val="0"/>
                <w:i w:val="0"/>
                <w:color w:val="1A1A1A"/>
                <w:sz w:val="18"/>
              </w:rPr>
              <w:t>dazu Küche, Floristin, Band, Busunternehmen</w:t>
            </w:r>
          </w:p>
        </w:tc>
      </w:tr>
      <w:tr>
        <w:trPr>
          <w:cantSplit w:val="true"/>
        </w:trPr>
        <w:tc>
          <w:tcPr>
            <w:tcW w:type="dxa" w:w="3213"/>
          </w:tcPr>
          <w:p>
            <w:pPr>
              <w:spacing w:after="0" w:before="0"/>
            </w:pPr>
            <w:r/>
            <w:r>
              <w:rPr>
                <w:b w:val="0"/>
                <w:i w:val="0"/>
                <w:color w:val="1A1A1A"/>
                <w:sz w:val="18"/>
              </w:rPr>
              <w:t>Ablaufbesprechung, etwa 4 Wochen vorher</w:t>
            </w:r>
          </w:p>
        </w:tc>
        <w:tc>
          <w:tcPr>
            <w:tcW w:type="dxa" w:w="3213"/>
          </w:tcPr>
          <w:p>
            <w:pPr>
              <w:spacing w:after="0" w:before="0"/>
            </w:pPr>
            <w:r/>
            <w:r>
              <w:rPr>
                <w:b w:val="0"/>
                <w:i w:val="0"/>
                <w:color w:val="1A1A1A"/>
                <w:sz w:val="18"/>
              </w:rPr>
              <w:t>Zeiten, Wege, Abbau, Abfall, Dienstpläne</w:t>
            </w:r>
          </w:p>
        </w:tc>
        <w:tc>
          <w:tcPr>
            <w:tcW w:type="dxa" w:w="3213"/>
          </w:tcPr>
          <w:p>
            <w:pPr>
              <w:spacing w:after="0" w:before="0"/>
            </w:pPr>
            <w:r/>
            <w:r>
              <w:rPr>
                <w:b w:val="0"/>
                <w:i w:val="0"/>
                <w:color w:val="1A1A1A"/>
                <w:sz w:val="18"/>
              </w:rPr>
              <w:t>alle, die am Tag liefern oder mitwirken</w:t>
            </w:r>
          </w:p>
        </w:tc>
      </w:tr>
      <w:tr>
        <w:trPr>
          <w:cantSplit w:val="true"/>
        </w:trPr>
        <w:tc>
          <w:tcPr>
            <w:tcW w:type="dxa" w:w="3213"/>
            <w:shd w:val="clear" w:color="auto" w:fill="F3EFE6"/>
          </w:tcPr>
          <w:p>
            <w:pPr>
              <w:spacing w:after="0" w:before="0"/>
            </w:pPr>
            <w:r/>
            <w:r>
              <w:rPr>
                <w:b w:val="0"/>
                <w:i w:val="0"/>
                <w:color w:val="1A1A1A"/>
                <w:sz w:val="18"/>
              </w:rPr>
              <w:t>Durchführung</w:t>
            </w:r>
          </w:p>
        </w:tc>
        <w:tc>
          <w:tcPr>
            <w:tcW w:type="dxa" w:w="3213"/>
            <w:shd w:val="clear" w:color="auto" w:fill="F3EFE6"/>
          </w:tcPr>
          <w:p>
            <w:pPr>
              <w:spacing w:after="0" w:before="0"/>
            </w:pPr>
            <w:r/>
            <w:r>
              <w:rPr>
                <w:b w:val="0"/>
                <w:i w:val="0"/>
                <w:color w:val="1A1A1A"/>
                <w:sz w:val="18"/>
              </w:rPr>
              <w:t>Änderungen und Verlängerungen</w:t>
            </w:r>
          </w:p>
        </w:tc>
        <w:tc>
          <w:tcPr>
            <w:tcW w:type="dxa" w:w="3213"/>
            <w:shd w:val="clear" w:color="auto" w:fill="F3EFE6"/>
          </w:tcPr>
          <w:p>
            <w:pPr>
              <w:spacing w:after="0" w:before="0"/>
            </w:pPr>
            <w:r/>
            <w:r>
              <w:rPr>
                <w:b w:val="0"/>
                <w:i w:val="0"/>
                <w:color w:val="1A1A1A"/>
                <w:sz w:val="18"/>
              </w:rPr>
              <w:t>Bankettleitung und Planerin, mit Befugnis</w:t>
            </w:r>
          </w:p>
        </w:tc>
      </w:tr>
      <w:tr>
        <w:trPr>
          <w:cantSplit w:val="true"/>
        </w:trPr>
        <w:tc>
          <w:tcPr>
            <w:tcW w:type="dxa" w:w="3213"/>
          </w:tcPr>
          <w:p>
            <w:pPr>
              <w:spacing w:after="0" w:before="0"/>
            </w:pPr>
            <w:r/>
            <w:r>
              <w:rPr>
                <w:b w:val="0"/>
                <w:i w:val="0"/>
                <w:color w:val="1A1A1A"/>
                <w:sz w:val="18"/>
              </w:rPr>
              <w:t>Abbau und Abreise in der Nacht</w:t>
            </w:r>
          </w:p>
        </w:tc>
        <w:tc>
          <w:tcPr>
            <w:tcW w:type="dxa" w:w="3213"/>
          </w:tcPr>
          <w:p>
            <w:pPr>
              <w:spacing w:after="0" w:before="0"/>
            </w:pPr>
            <w:r/>
            <w:r>
              <w:rPr>
                <w:b w:val="0"/>
                <w:i w:val="0"/>
                <w:color w:val="1A1A1A"/>
                <w:sz w:val="18"/>
              </w:rPr>
              <w:t>Busse, Lärm, Material im Hof</w:t>
            </w:r>
          </w:p>
        </w:tc>
        <w:tc>
          <w:tcPr>
            <w:tcW w:type="dxa" w:w="3213"/>
          </w:tcPr>
          <w:p>
            <w:pPr>
              <w:spacing w:after="0" w:before="0"/>
            </w:pPr>
            <w:r/>
            <w:r>
              <w:rPr>
                <w:b w:val="0"/>
                <w:i w:val="0"/>
                <w:color w:val="1A1A1A"/>
                <w:sz w:val="18"/>
              </w:rPr>
              <w:t>ein benannter Verantwortlicher, Nachtportier informiert</w:t>
            </w:r>
          </w:p>
        </w:tc>
      </w:tr>
      <w:tr>
        <w:trPr>
          <w:cantSplit w:val="true"/>
        </w:trPr>
        <w:tc>
          <w:tcPr>
            <w:tcW w:type="dxa" w:w="3213"/>
            <w:shd w:val="clear" w:color="auto" w:fill="F3EFE6"/>
          </w:tcPr>
          <w:p>
            <w:pPr>
              <w:spacing w:after="0" w:before="0"/>
            </w:pPr>
            <w:r/>
            <w:r>
              <w:rPr>
                <w:b w:val="0"/>
                <w:i w:val="0"/>
                <w:color w:val="1A1A1A"/>
                <w:sz w:val="18"/>
              </w:rPr>
              <w:t>Nachbereitung, bis etwa 4 Wochen danach</w:t>
            </w:r>
          </w:p>
        </w:tc>
        <w:tc>
          <w:tcPr>
            <w:tcW w:type="dxa" w:w="3213"/>
            <w:shd w:val="clear" w:color="auto" w:fill="F3EFE6"/>
          </w:tcPr>
          <w:p>
            <w:pPr>
              <w:spacing w:after="0" w:before="0"/>
            </w:pPr>
            <w:r/>
            <w:r>
              <w:rPr>
                <w:b w:val="0"/>
                <w:i w:val="0"/>
                <w:color w:val="1A1A1A"/>
                <w:sz w:val="18"/>
              </w:rPr>
              <w:t>Mengen, Beschwerden, Lehren</w:t>
            </w:r>
          </w:p>
        </w:tc>
        <w:tc>
          <w:tcPr>
            <w:tcW w:type="dxa" w:w="3213"/>
            <w:shd w:val="clear" w:color="auto" w:fill="F3EFE6"/>
          </w:tcPr>
          <w:p>
            <w:pPr>
              <w:spacing w:after="0" w:before="0"/>
            </w:pPr>
            <w:r/>
            <w:r>
              <w:rPr>
                <w:b w:val="0"/>
                <w:i w:val="0"/>
                <w:color w:val="1A1A1A"/>
                <w:sz w:val="18"/>
              </w:rPr>
              <w:t>Bankettleitung, Küche, Eigentümer</w:t>
            </w:r>
          </w:p>
        </w:tc>
      </w:tr>
    </w:tbl>
    <w:p>
      <w:pPr>
        <w:spacing w:after="40"/>
      </w:pPr>
    </w:p>
    <w:p>
      <w:pPr>
        <w:pStyle w:val="Heading2"/>
      </w:pPr>
      <w:r>
        <w:t>Praktische Anwendung: eine Veranstaltung als System aufnehmen in sieben Schritten</w:t>
      </w:r>
    </w:p>
    <w:p>
      <w:pPr>
        <w:tabs>
          <w:tab w:pos="340" w:val="left"/>
        </w:tabs>
        <w:ind w:left="340" w:hanging="340"/>
      </w:pPr>
      <w:r>
        <w:rPr>
          <w:b/>
          <w:color w:val="8C5A2B"/>
        </w:rPr>
        <w:t>1.</w:t>
        <w:tab/>
      </w:r>
      <w:r>
        <w:rPr>
          <w:b/>
        </w:rPr>
        <w:t>Alle Beteiligten auf ein Blatt schreiben.</w:t>
      </w:r>
      <w:r>
        <w:t xml:space="preserve"> Für die häufigste Art von Veranstaltung des Hauses, hier die Hochzeit, jede Partei mit ihrer Gruppe nach 4.2 und mit der Angabe, wer mit wem einen Vertrag hat.</w:t>
      </w:r>
    </w:p>
    <w:p>
      <w:pPr>
        <w:tabs>
          <w:tab w:pos="340" w:val="left"/>
        </w:tabs>
        <w:ind w:left="340" w:hanging="340"/>
      </w:pPr>
      <w:r>
        <w:rPr>
          <w:b/>
          <w:color w:val="8C5A2B"/>
        </w:rPr>
        <w:t>2.</w:t>
        <w:tab/>
      </w:r>
      <w:r>
        <w:rPr>
          <w:b/>
        </w:rPr>
        <w:t>Die eigenen Rollen benennen.</w:t>
      </w:r>
      <w:r>
        <w:t xml:space="preserve"> Wo ist das Haus Veranstaltungsort und Lieferant, wo Veranstalter, wo Besteller? Für jede Rolle steht daneben, was das Haus dort steuert und was es nur beeinflusst.</w:t>
      </w:r>
    </w:p>
    <w:p>
      <w:pPr>
        <w:tabs>
          <w:tab w:pos="340" w:val="left"/>
        </w:tabs>
        <w:ind w:left="340" w:hanging="340"/>
      </w:pPr>
      <w:r>
        <w:rPr>
          <w:b/>
          <w:color w:val="8C5A2B"/>
        </w:rPr>
        <w:t>3.</w:t>
        <w:tab/>
      </w:r>
      <w:r>
        <w:rPr>
          <w:b/>
        </w:rPr>
        <w:t>Den Zyklus zeichnen.</w:t>
      </w:r>
      <w:r>
        <w:t xml:space="preserve"> Von der ersten Anfrage bis zur Nachbesprechung, mit den Wochen, in denen entschieden wird, wie viele Gäste wo schlafen, wie sie fahren und was geliefert wird.</w:t>
      </w:r>
    </w:p>
    <w:p>
      <w:pPr>
        <w:tabs>
          <w:tab w:pos="340" w:val="left"/>
        </w:tabs>
        <w:ind w:left="340" w:hanging="340"/>
      </w:pPr>
      <w:r>
        <w:rPr>
          <w:b/>
          <w:color w:val="8C5A2B"/>
        </w:rPr>
        <w:t>4.</w:t>
        <w:tab/>
      </w:r>
      <w:r>
        <w:rPr>
          <w:b/>
        </w:rPr>
        <w:t>Die Schnittstellen suchen.</w:t>
      </w:r>
      <w:r>
        <w:t xml:space="preserve"> Wo treffen zwei Verträge am selben Ort oder zur selben Zeit zusammen? Hof, Container, Küche, Ende der Musik, Abfahrt der Busse, Dienstplan am Morgen danach.</w:t>
      </w:r>
    </w:p>
    <w:p>
      <w:pPr>
        <w:tabs>
          <w:tab w:pos="340" w:val="left"/>
        </w:tabs>
        <w:ind w:left="340" w:hanging="340"/>
      </w:pPr>
      <w:r>
        <w:rPr>
          <w:b/>
          <w:color w:val="8C5A2B"/>
        </w:rPr>
        <w:t>5.</w:t>
        <w:tab/>
      </w:r>
      <w:r>
        <w:rPr>
          <w:b/>
        </w:rPr>
        <w:t>Jeder Schnittstelle einen Namen geben.</w:t>
      </w:r>
      <w:r>
        <w:t xml:space="preserve"> Wer entscheidet dort, wer wird informiert, wer darf eine Verlängerung zusagen? Was das Haus an die Veranstalterin abgibt, steht im Vertrag.</w:t>
      </w:r>
    </w:p>
    <w:p>
      <w:pPr>
        <w:tabs>
          <w:tab w:pos="340" w:val="left"/>
        </w:tabs>
        <w:ind w:left="340" w:hanging="340"/>
      </w:pPr>
      <w:r>
        <w:rPr>
          <w:b/>
          <w:color w:val="8C5A2B"/>
        </w:rPr>
        <w:t>6.</w:t>
        <w:tab/>
      </w:r>
      <w:r>
        <w:rPr>
          <w:b/>
        </w:rPr>
        <w:t>Ein gemeinsames Ablaufblatt verlangen.</w:t>
      </w:r>
      <w:r>
        <w:t xml:space="preserve"> Vier Wochen vor dem Fest werden Bankettauftrag und Ablaufplan abgeglichen, mit allen, die am Tag liefern oder mitwirken (2.7).</w:t>
      </w:r>
    </w:p>
    <w:p>
      <w:pPr>
        <w:tabs>
          <w:tab w:pos="340" w:val="left"/>
        </w:tabs>
        <w:ind w:left="340" w:hanging="340"/>
      </w:pPr>
      <w:r>
        <w:rPr>
          <w:b/>
          <w:color w:val="8C5A2B"/>
        </w:rPr>
        <w:t>7.</w:t>
        <w:tab/>
      </w:r>
      <w:r>
        <w:rPr>
          <w:b/>
        </w:rPr>
        <w:t>Die Nacht mitplanen.</w:t>
      </w:r>
      <w:r>
        <w:t xml:space="preserve"> Ende der Musik, letzter Bus, Abbau und Ruhezeiten stehen auf dem Ablaufblatt, und der Nachtportier hat es, mit den Telefonnummern.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Alle Beteiligten auf ein Blatt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eigenen Rollen benennen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Zyklus zeichnen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Schnittstellen suchen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Jeder Schnittstelle einen Namen 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 gemeinsames Ablaufblatt verlangen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Nacht mitplanen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Kennen wir für unsere häufigste Veranstaltungsart alle Beteiligten und ihre Rolle?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unsere eigenen Rollen bei dieser Veranstaltungsart schriftlich benannt?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in welcher Phase des Zyklus welche Entscheidung fällt?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Sprechen wir vor dem Fest mit Mitwirkenden und Lieferanten, die der Kunde beauftragt hat?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 Ablaufblatt, auf dem unsere Zeiten und die der Veranstalterin übereinstimmen?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die Zeit zwischen Ende der Musik und letzter Abfahrt jemand bestimmt?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Rechnen wir die Ruhezeiten ein, bevor wir Leistungen am Morgen danach verkaufen?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Kommen Anwohner in unserer Planung vor, bevor sie sich beschweren?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Veranstaltung für einen Tag halten.</w:t>
      </w:r>
      <w:r>
        <w:t xml:space="preserve"> Die folgenreichen Entscheidungen fallen Monate vorher.</w:t>
      </w:r>
    </w:p>
    <w:p>
      <w:pPr>
        <w:tabs>
          <w:tab w:pos="340" w:val="left"/>
        </w:tabs>
        <w:ind w:left="340" w:hanging="340"/>
      </w:pPr>
      <w:r>
        <w:rPr>
          <w:color w:val="8C5A2B"/>
        </w:rPr>
        <w:t>–</w:t>
        <w:tab/>
      </w:r>
      <w:r>
        <w:rPr>
          <w:b/>
        </w:rPr>
        <w:t>Nur die Rolle als Ort sehen.</w:t>
      </w:r>
      <w:r>
        <w:t xml:space="preserve"> Das Haus ist zugleich Lieferant, oft Veranstalter eigener Formate und Besteller.</w:t>
      </w:r>
    </w:p>
    <w:p>
      <w:pPr>
        <w:tabs>
          <w:tab w:pos="340" w:val="left"/>
        </w:tabs>
        <w:ind w:left="340" w:hanging="340"/>
      </w:pPr>
      <w:r>
        <w:rPr>
          <w:color w:val="8C5A2B"/>
        </w:rPr>
        <w:t>–</w:t>
        <w:tab/>
      </w:r>
      <w:r>
        <w:rPr>
          <w:b/>
        </w:rPr>
        <w:t>Parallele Dokumente führen.</w:t>
      </w:r>
      <w:r>
        <w:t xml:space="preserve"> Zwei Uhrzeiten für dasselbe Ende sind keine Planung.</w:t>
      </w:r>
    </w:p>
    <w:p>
      <w:pPr>
        <w:tabs>
          <w:tab w:pos="340" w:val="left"/>
        </w:tabs>
        <w:ind w:left="340" w:hanging="340"/>
      </w:pPr>
      <w:r>
        <w:rPr>
          <w:color w:val="8C5A2B"/>
        </w:rPr>
        <w:t>–</w:t>
        <w:tab/>
      </w:r>
      <w:r>
        <w:rPr>
          <w:b/>
        </w:rPr>
        <w:t>Die Mitwirkenden erst am Tag kennenlernen.</w:t>
      </w:r>
      <w:r>
        <w:t xml:space="preserve"> Band und Floristin arbeiten auf dem Grund des Hauses.</w:t>
      </w:r>
    </w:p>
    <w:p>
      <w:pPr>
        <w:tabs>
          <w:tab w:pos="340" w:val="left"/>
        </w:tabs>
        <w:ind w:left="340" w:hanging="340"/>
      </w:pPr>
      <w:r>
        <w:rPr>
          <w:color w:val="8C5A2B"/>
        </w:rPr>
        <w:t>–</w:t>
        <w:tab/>
      </w:r>
      <w:r>
        <w:rPr>
          <w:b/>
        </w:rPr>
        <w:t>Die Nacht niemandem geben.</w:t>
      </w:r>
      <w:r>
        <w:t xml:space="preserve"> Dann steht der Nachtportier allein im Hof, ohne Plan und Nummern.</w:t>
      </w:r>
    </w:p>
    <w:p>
      <w:pPr>
        <w:tabs>
          <w:tab w:pos="340" w:val="left"/>
        </w:tabs>
        <w:ind w:left="340" w:hanging="340"/>
      </w:pPr>
      <w:r>
        <w:rPr>
          <w:color w:val="8C5A2B"/>
        </w:rPr>
        <w:t>–</w:t>
        <w:tab/>
      </w:r>
      <w:r>
        <w:rPr>
          <w:b/>
        </w:rPr>
        <w:t>Den Morgen danach verkaufen, ohne die Nacht zu rechnen.</w:t>
      </w:r>
      <w:r>
        <w:t xml:space="preserve"> Die Ruhezeit entscheidet, wer am Brunch arbeiten darf.</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Hochzeit mit Weinprobe, Brunch und 100 Zimmernächten</w:t>
            </w:r>
          </w:p>
        </w:tc>
        <w:tc>
          <w:tcPr>
            <w:tcW w:type="dxa" w:w="1474"/>
          </w:tcPr>
          <w:p>
            <w:pPr>
              <w:spacing w:after="0" w:before="0"/>
            </w:pPr>
            <w:r/>
            <w:r>
              <w:rPr>
                <w:b w:val="0"/>
                <w:i w:val="0"/>
                <w:color w:val="1A1A1A"/>
                <w:sz w:val="18"/>
              </w:rPr>
              <w:t>€ 52.000</w:t>
            </w:r>
          </w:p>
        </w:tc>
        <w:tc>
          <w:tcPr>
            <w:tcW w:type="dxa" w:w="3175"/>
          </w:tcPr>
          <w:p>
            <w:pPr>
              <w:spacing w:after="0" w:before="0"/>
            </w:pPr>
            <w:r/>
            <w:r>
              <w:rPr>
                <w:b w:val="0"/>
                <w:i w:val="0"/>
                <w:color w:val="1A1A1A"/>
                <w:sz w:val="18"/>
              </w:rPr>
              <w:t>Menü, Wein, Saal, Busse, Zimmer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Weggeworfene Hauptgänge: 14 zu € 18 Wareneinsatz</w:t>
            </w:r>
          </w:p>
        </w:tc>
        <w:tc>
          <w:tcPr>
            <w:tcW w:type="dxa" w:w="1474"/>
            <w:shd w:val="clear" w:color="auto" w:fill="F3EFE6"/>
          </w:tcPr>
          <w:p>
            <w:pPr>
              <w:spacing w:after="0" w:before="0"/>
            </w:pPr>
            <w:r/>
            <w:r>
              <w:rPr>
                <w:b w:val="0"/>
                <w:i w:val="0"/>
                <w:color w:val="1A1A1A"/>
                <w:sz w:val="18"/>
              </w:rPr>
              <w:t>€ 252</w:t>
            </w:r>
          </w:p>
        </w:tc>
        <w:tc>
          <w:tcPr>
            <w:tcW w:type="dxa" w:w="3175"/>
            <w:shd w:val="clear" w:color="auto" w:fill="F3EFE6"/>
          </w:tcPr>
          <w:p>
            <w:pPr>
              <w:spacing w:after="0" w:before="0"/>
            </w:pPr>
            <w:r/>
            <w:r>
              <w:rPr>
                <w:b w:val="0"/>
                <w:i w:val="0"/>
                <w:color w:val="1A1A1A"/>
                <w:sz w:val="18"/>
              </w:rPr>
              <w:t>Folge abweichender Gästezahlen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Zusätzliche Leerung des Restmüllcontainers</w:t>
            </w:r>
          </w:p>
        </w:tc>
        <w:tc>
          <w:tcPr>
            <w:tcW w:type="dxa" w:w="1474"/>
          </w:tcPr>
          <w:p>
            <w:pPr>
              <w:spacing w:after="0" w:before="0"/>
            </w:pPr>
            <w:r/>
            <w:r>
              <w:rPr>
                <w:b w:val="0"/>
                <w:i w:val="0"/>
                <w:color w:val="1A1A1A"/>
                <w:sz w:val="18"/>
              </w:rPr>
              <w:t>€ 180</w:t>
            </w:r>
          </w:p>
        </w:tc>
        <w:tc>
          <w:tcPr>
            <w:tcW w:type="dxa" w:w="3175"/>
          </w:tcPr>
          <w:p>
            <w:pPr>
              <w:spacing w:after="0" w:before="0"/>
            </w:pPr>
            <w:r/>
            <w:r>
              <w:rPr>
                <w:b w:val="0"/>
                <w:i w:val="0"/>
                <w:color w:val="1A1A1A"/>
                <w:sz w:val="18"/>
              </w:rPr>
              <w:t>Material der Floristin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Ersatzkräfte für den Brunch: 3 × 6 Stunden zu € 28</w:t>
            </w:r>
          </w:p>
        </w:tc>
        <w:tc>
          <w:tcPr>
            <w:tcW w:type="dxa" w:w="1474"/>
            <w:shd w:val="clear" w:color="auto" w:fill="F3EFE6"/>
          </w:tcPr>
          <w:p>
            <w:pPr>
              <w:spacing w:after="0" w:before="0"/>
            </w:pPr>
            <w:r/>
            <w:r>
              <w:rPr>
                <w:b w:val="0"/>
                <w:i w:val="0"/>
                <w:color w:val="1A1A1A"/>
                <w:sz w:val="18"/>
              </w:rPr>
              <w:t>€ 504</w:t>
            </w:r>
          </w:p>
        </w:tc>
        <w:tc>
          <w:tcPr>
            <w:tcW w:type="dxa" w:w="3175"/>
            <w:shd w:val="clear" w:color="auto" w:fill="F3EFE6"/>
          </w:tcPr>
          <w:p>
            <w:pPr>
              <w:spacing w:after="0" w:before="0"/>
            </w:pPr>
            <w:r/>
            <w:r>
              <w:rPr>
                <w:b w:val="0"/>
                <w:i w:val="0"/>
                <w:color w:val="1A1A1A"/>
                <w:sz w:val="18"/>
              </w:rPr>
              <w:t>um die Ruhezeit einzuhalten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Ablaufbesprechung: 5 Personen × 3 Stunden</w:t>
            </w:r>
          </w:p>
        </w:tc>
        <w:tc>
          <w:tcPr>
            <w:tcW w:type="dxa" w:w="1474"/>
          </w:tcPr>
          <w:p>
            <w:pPr>
              <w:spacing w:after="0" w:before="0"/>
            </w:pPr>
            <w:r/>
            <w:r>
              <w:rPr>
                <w:b w:val="0"/>
                <w:i w:val="0"/>
                <w:color w:val="1A1A1A"/>
                <w:sz w:val="18"/>
              </w:rPr>
              <w:t>15 Stunden</w:t>
            </w:r>
          </w:p>
        </w:tc>
        <w:tc>
          <w:tcPr>
            <w:tcW w:type="dxa" w:w="3175"/>
          </w:tcPr>
          <w:p>
            <w:pPr>
              <w:spacing w:after="0" w:before="0"/>
            </w:pPr>
            <w:r/>
            <w:r>
              <w:rPr>
                <w:b w:val="0"/>
                <w:i w:val="0"/>
                <w:color w:val="1A1A1A"/>
                <w:sz w:val="18"/>
              </w:rPr>
              <w:t>je Hochzeit, vier Wochen vorher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Rollenblatt und Schnittstellenliste für Hochzeiten</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einmalig, Bankettleiterin und Eigentümer</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Beträge sind klein, gemessen am Umsatz einer Hochzeit. Groß ist, was in keiner Zeile steht: die dritte Beschwerde aus derselben Gasse in einer Saison und eine Ruhezeit, die nicht eingehalten wurde.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Externe und interne Themen samt Auswirkungen bestimmen (4.1)</w:t>
            </w:r>
          </w:p>
        </w:tc>
        <w:tc>
          <w:tcPr>
            <w:tcW w:type="dxa" w:w="3175"/>
          </w:tcPr>
          <w:p>
            <w:pPr>
              <w:spacing w:after="0" w:before="0"/>
            </w:pPr>
            <w:r/>
            <w:r>
              <w:rPr>
                <w:b w:val="0"/>
                <w:i w:val="0"/>
                <w:color w:val="1A1A1A"/>
                <w:sz w:val="18"/>
              </w:rPr>
              <w:t>ein Blatt zum Kontext des Hochzeitsgeschäfts</w:t>
            </w:r>
          </w:p>
        </w:tc>
        <w:tc>
          <w:tcPr>
            <w:tcW w:type="dxa" w:w="3175"/>
          </w:tcPr>
          <w:p>
            <w:pPr>
              <w:spacing w:after="0" w:before="0"/>
            </w:pPr>
            <w:r/>
            <w:r>
              <w:rPr>
                <w:b w:val="0"/>
                <w:i w:val="0"/>
                <w:color w:val="1A1A1A"/>
                <w:sz w:val="18"/>
              </w:rPr>
              <w:t>SWOT und PESTEL als Hilfen (Anmerkung 2 zu 4.1)</w:t>
            </w:r>
          </w:p>
        </w:tc>
      </w:tr>
      <w:tr>
        <w:trPr>
          <w:cantSplit w:val="true"/>
        </w:trPr>
        <w:tc>
          <w:tcPr>
            <w:tcW w:type="dxa" w:w="3288"/>
            <w:shd w:val="clear" w:color="auto" w:fill="F3EFE6"/>
          </w:tcPr>
          <w:p>
            <w:pPr>
              <w:spacing w:after="0" w:before="0"/>
            </w:pPr>
            <w:r/>
            <w:r>
              <w:rPr>
                <w:b w:val="0"/>
                <w:i w:val="0"/>
                <w:color w:val="1A1A1A"/>
                <w:sz w:val="18"/>
              </w:rPr>
              <w:t>Bestimmen, ob der Klimawandel relevant ist (4.1)</w:t>
            </w:r>
          </w:p>
        </w:tc>
        <w:tc>
          <w:tcPr>
            <w:tcW w:type="dxa" w:w="3175"/>
            <w:shd w:val="clear" w:color="auto" w:fill="F3EFE6"/>
          </w:tcPr>
          <w:p>
            <w:pPr>
              <w:spacing w:after="0" w:before="0"/>
            </w:pPr>
            <w:r/>
            <w:r>
              <w:rPr>
                <w:b w:val="0"/>
                <w:i w:val="0"/>
                <w:color w:val="1A1A1A"/>
                <w:sz w:val="18"/>
              </w:rPr>
              <w:t>Vermerk zu Hitze und Starkregen bei Feiern im Freien</w:t>
            </w:r>
          </w:p>
        </w:tc>
        <w:tc>
          <w:tcPr>
            <w:tcW w:type="dxa" w:w="3175"/>
            <w:shd w:val="clear" w:color="auto" w:fill="F3EFE6"/>
          </w:tcPr>
          <w:p>
            <w:pPr>
              <w:spacing w:after="0" w:before="0"/>
            </w:pPr>
            <w:r/>
            <w:r>
              <w:rPr>
                <w:b w:val="0"/>
                <w:i w:val="0"/>
                <w:color w:val="1A1A1A"/>
                <w:sz w:val="18"/>
              </w:rPr>
              <w:t>Nachhaltigkeitsziele und Rahmenwerke als Hilfe (A.11)</w:t>
            </w:r>
          </w:p>
        </w:tc>
      </w:tr>
      <w:tr>
        <w:trPr>
          <w:cantSplit w:val="true"/>
        </w:trPr>
        <w:tc>
          <w:tcPr>
            <w:tcW w:type="dxa" w:w="3288"/>
          </w:tcPr>
          <w:p>
            <w:pPr>
              <w:spacing w:after="0" w:before="0"/>
            </w:pPr>
            <w:r/>
            <w:r>
              <w:rPr>
                <w:b w:val="0"/>
                <w:i w:val="0"/>
                <w:color w:val="1A1A1A"/>
                <w:sz w:val="18"/>
              </w:rPr>
              <w:t>Interessierte Parteien und ihre Anforderungen bestimmen (4.2)</w:t>
            </w:r>
          </w:p>
        </w:tc>
        <w:tc>
          <w:tcPr>
            <w:tcW w:type="dxa" w:w="3175"/>
          </w:tcPr>
          <w:p>
            <w:pPr>
              <w:spacing w:after="0" w:before="0"/>
            </w:pPr>
            <w:r/>
            <w:r>
              <w:rPr>
                <w:b w:val="0"/>
                <w:i w:val="0"/>
                <w:color w:val="1A1A1A"/>
                <w:sz w:val="18"/>
              </w:rPr>
              <w:t>Rollenblatt je Veranstaltungsart</w:t>
            </w:r>
          </w:p>
        </w:tc>
        <w:tc>
          <w:tcPr>
            <w:tcW w:type="dxa" w:w="3175"/>
          </w:tcPr>
          <w:p>
            <w:pPr>
              <w:spacing w:after="0" w:before="0"/>
            </w:pPr>
            <w:r/>
            <w:r>
              <w:rPr>
                <w:b w:val="0"/>
                <w:i w:val="0"/>
                <w:color w:val="1A1A1A"/>
                <w:sz w:val="18"/>
              </w:rPr>
              <w:t>Rollenübersicht (Tabelle A.1)</w:t>
            </w:r>
          </w:p>
        </w:tc>
      </w:tr>
      <w:tr>
        <w:trPr>
          <w:cantSplit w:val="true"/>
        </w:trPr>
        <w:tc>
          <w:tcPr>
            <w:tcW w:type="dxa" w:w="3288"/>
            <w:shd w:val="clear" w:color="auto" w:fill="F3EFE6"/>
          </w:tcPr>
          <w:p>
            <w:pPr>
              <w:spacing w:after="0" w:before="0"/>
            </w:pPr>
            <w:r/>
            <w:r>
              <w:rPr>
                <w:b w:val="0"/>
                <w:i w:val="0"/>
                <w:color w:val="1A1A1A"/>
                <w:sz w:val="18"/>
              </w:rPr>
              <w:t>Prozess zur Einbeziehung nach Rolle in der Wertschöpfungskette (4.2)</w:t>
            </w:r>
          </w:p>
        </w:tc>
        <w:tc>
          <w:tcPr>
            <w:tcW w:type="dxa" w:w="3175"/>
            <w:shd w:val="clear" w:color="auto" w:fill="F3EFE6"/>
          </w:tcPr>
          <w:p>
            <w:pPr>
              <w:spacing w:after="0" w:before="0"/>
            </w:pPr>
            <w:r/>
            <w:r>
              <w:rPr>
                <w:b w:val="0"/>
                <w:i w:val="0"/>
                <w:color w:val="1A1A1A"/>
                <w:sz w:val="18"/>
              </w:rPr>
              <w:t>Ablaufbesprechung mit Protokoll</w:t>
            </w:r>
          </w:p>
        </w:tc>
        <w:tc>
          <w:tcPr>
            <w:tcW w:type="dxa" w:w="3175"/>
            <w:shd w:val="clear" w:color="auto" w:fill="F3EFE6"/>
          </w:tcPr>
          <w:p>
            <w:pPr>
              <w:spacing w:after="0" w:before="0"/>
            </w:pPr>
            <w:r/>
            <w:r>
              <w:rPr>
                <w:b w:val="0"/>
                <w:i w:val="0"/>
                <w:color w:val="1A1A1A"/>
                <w:sz w:val="18"/>
              </w:rPr>
              <w:t>Formen der Einbeziehung (Anmerkung 3 zu 4.2)</w:t>
            </w:r>
          </w:p>
        </w:tc>
      </w:tr>
      <w:tr>
        <w:trPr>
          <w:cantSplit w:val="true"/>
        </w:trPr>
        <w:tc>
          <w:tcPr>
            <w:tcW w:type="dxa" w:w="3288"/>
          </w:tcPr>
          <w:p>
            <w:pPr>
              <w:spacing w:after="0" w:before="0"/>
            </w:pPr>
            <w:r/>
            <w:r>
              <w:rPr>
                <w:b w:val="0"/>
                <w:i w:val="0"/>
                <w:color w:val="1A1A1A"/>
                <w:sz w:val="18"/>
              </w:rPr>
              <w:t>Prozesse und ihre Wechselwirkungen (4.4)</w:t>
            </w:r>
          </w:p>
        </w:tc>
        <w:tc>
          <w:tcPr>
            <w:tcW w:type="dxa" w:w="3175"/>
          </w:tcPr>
          <w:p>
            <w:pPr>
              <w:spacing w:after="0" w:before="0"/>
            </w:pPr>
            <w:r/>
            <w:r>
              <w:rPr>
                <w:b w:val="0"/>
                <w:i w:val="0"/>
                <w:color w:val="1A1A1A"/>
                <w:sz w:val="18"/>
              </w:rPr>
              <w:t>ein Ablaufblatt, das Bankettauftrag und Ablaufplan abgleicht</w:t>
            </w:r>
          </w:p>
        </w:tc>
        <w:tc>
          <w:tcPr>
            <w:tcW w:type="dxa" w:w="3175"/>
          </w:tcPr>
          <w:p>
            <w:pPr>
              <w:spacing w:after="0" w:before="0"/>
            </w:pPr>
            <w:r/>
            <w:r>
              <w:rPr>
                <w:b w:val="0"/>
                <w:i w:val="0"/>
                <w:color w:val="1A1A1A"/>
                <w:sz w:val="18"/>
              </w:rPr>
              <w:t>Methode: Liste der Schnittstellen</w:t>
            </w:r>
          </w:p>
        </w:tc>
      </w:tr>
      <w:tr>
        <w:trPr>
          <w:cantSplit w:val="true"/>
        </w:trPr>
        <w:tc>
          <w:tcPr>
            <w:tcW w:type="dxa" w:w="3288"/>
            <w:shd w:val="clear" w:color="auto" w:fill="F3EFE6"/>
          </w:tcPr>
          <w:p>
            <w:pPr>
              <w:spacing w:after="0" w:before="0"/>
            </w:pPr>
            <w:r/>
            <w:r>
              <w:rPr>
                <w:b w:val="0"/>
                <w:i w:val="0"/>
                <w:color w:val="1A1A1A"/>
                <w:sz w:val="18"/>
              </w:rPr>
              <w:t>Lehren aus jeder Veranstaltung (9.1 c)</w:t>
            </w:r>
          </w:p>
        </w:tc>
        <w:tc>
          <w:tcPr>
            <w:tcW w:type="dxa" w:w="3175"/>
            <w:shd w:val="clear" w:color="auto" w:fill="F3EFE6"/>
          </w:tcPr>
          <w:p>
            <w:pPr>
              <w:spacing w:after="0" w:before="0"/>
            </w:pPr>
            <w:r/>
            <w:r>
              <w:rPr>
                <w:b w:val="0"/>
                <w:i w:val="0"/>
                <w:color w:val="1A1A1A"/>
                <w:sz w:val="18"/>
              </w:rPr>
              <w:t>Nachbesprechung binnen vier Wochen</w:t>
            </w:r>
          </w:p>
        </w:tc>
        <w:tc>
          <w:tcPr>
            <w:tcW w:type="dxa" w:w="3175"/>
            <w:shd w:val="clear" w:color="auto" w:fill="F3EFE6"/>
          </w:tcPr>
          <w:p>
            <w:pPr>
              <w:spacing w:after="0" w:before="0"/>
            </w:pPr>
            <w:r/>
            <w:r>
              <w:rPr>
                <w:b w:val="0"/>
                <w:i w:val="0"/>
                <w:color w:val="1A1A1A"/>
                <w:sz w:val="18"/>
              </w:rPr>
              <w:t>Kennzahlen nach Größe (A.20)</w:t>
            </w:r>
          </w:p>
        </w:tc>
      </w:tr>
    </w:tbl>
    <w:p>
      <w:pPr>
        <w:spacing w:after="40"/>
      </w:pPr>
    </w:p>
    <w:p>
      <w:pPr>
        <w:pStyle w:val="Heading2"/>
      </w:pPr>
      <w:r>
        <w:t>DACH-Anker: Rollen im Recht und die Nacht danach</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Recht der Veranstaltungsstätten</w:t>
            </w:r>
          </w:p>
        </w:tc>
        <w:tc>
          <w:tcPr>
            <w:tcW w:type="dxa" w:w="2721"/>
          </w:tcPr>
          <w:p>
            <w:pPr>
              <w:spacing w:after="0" w:before="0"/>
            </w:pPr>
            <w:r/>
            <w:r>
              <w:rPr>
                <w:b w:val="0"/>
                <w:i w:val="0"/>
                <w:color w:val="1A1A1A"/>
                <w:sz w:val="17"/>
              </w:rPr>
              <w:t>Landesrecht; in Bayern Versammlungsstättenverordnung (BayVStättV)</w:t>
            </w:r>
          </w:p>
        </w:tc>
        <w:tc>
          <w:tcPr>
            <w:tcW w:type="dxa" w:w="2721"/>
          </w:tcPr>
          <w:p>
            <w:pPr>
              <w:spacing w:after="0" w:before="0"/>
            </w:pPr>
            <w:r/>
            <w:r>
              <w:rPr>
                <w:b w:val="0"/>
                <w:i w:val="0"/>
                <w:color w:val="1A1A1A"/>
                <w:sz w:val="17"/>
              </w:rPr>
              <w:t>Veranstaltungsgesetz des jeweiligen Bundeslandes</w:t>
            </w:r>
          </w:p>
        </w:tc>
        <w:tc>
          <w:tcPr>
            <w:tcW w:type="dxa" w:w="2721"/>
          </w:tcPr>
          <w:p>
            <w:pPr>
              <w:spacing w:after="0" w:before="0"/>
            </w:pPr>
            <w:r/>
            <w:r>
              <w:rPr>
                <w:b w:val="0"/>
                <w:i w:val="0"/>
                <w:color w:val="1A1A1A"/>
                <w:sz w:val="17"/>
              </w:rPr>
              <w:t>kantonales Recht</w:t>
            </w:r>
          </w:p>
        </w:tc>
      </w:tr>
      <w:tr>
        <w:trPr>
          <w:cantSplit w:val="true"/>
        </w:trPr>
        <w:tc>
          <w:tcPr>
            <w:tcW w:type="dxa" w:w="1474"/>
            <w:shd w:val="clear" w:color="auto" w:fill="F3EFE6"/>
          </w:tcPr>
          <w:p>
            <w:pPr>
              <w:spacing w:after="0" w:before="0"/>
            </w:pPr>
            <w:r/>
            <w:r>
              <w:rPr>
                <w:b w:val="0"/>
                <w:i w:val="0"/>
                <w:color w:val="1A1A1A"/>
                <w:sz w:val="17"/>
              </w:rPr>
              <w:t>Wann es greift</w:t>
            </w:r>
          </w:p>
        </w:tc>
        <w:tc>
          <w:tcPr>
            <w:tcW w:type="dxa" w:w="2721"/>
            <w:shd w:val="clear" w:color="auto" w:fill="F3EFE6"/>
          </w:tcPr>
          <w:p>
            <w:pPr>
              <w:spacing w:after="0" w:before="0"/>
            </w:pPr>
            <w:r/>
            <w:r>
              <w:rPr>
                <w:b w:val="0"/>
                <w:i w:val="0"/>
                <w:color w:val="1A1A1A"/>
                <w:sz w:val="17"/>
              </w:rPr>
              <w:t>in Bayern bei Versammlungsräumen, die einzeln mehr als 200 Besucher fassen (§ 1 Abs. 1 Nr. 1)</w:t>
            </w:r>
          </w:p>
        </w:tc>
        <w:tc>
          <w:tcPr>
            <w:tcW w:type="dxa" w:w="2721"/>
            <w:shd w:val="clear" w:color="auto" w:fill="F3EFE6"/>
          </w:tcPr>
          <w:p>
            <w:pPr>
              <w:spacing w:after="0" w:before="0"/>
            </w:pPr>
            <w:r/>
            <w:r>
              <w:rPr>
                <w:b w:val="0"/>
                <w:i w:val="0"/>
                <w:color w:val="1A1A1A"/>
                <w:sz w:val="17"/>
              </w:rPr>
              <w:t>je Bundesland und Art der Veranstaltung verschieden</w:t>
            </w:r>
          </w:p>
        </w:tc>
        <w:tc>
          <w:tcPr>
            <w:tcW w:type="dxa" w:w="2721"/>
            <w:shd w:val="clear" w:color="auto" w:fill="F3EFE6"/>
          </w:tcPr>
          <w:p>
            <w:pPr>
              <w:spacing w:after="0" w:before="0"/>
            </w:pPr>
            <w:r/>
            <w:r>
              <w:rPr>
                <w:b w:val="0"/>
                <w:i w:val="0"/>
                <w:color w:val="1A1A1A"/>
                <w:sz w:val="17"/>
              </w:rPr>
              <w:t>je Kanton verschieden</w:t>
            </w:r>
          </w:p>
        </w:tc>
      </w:tr>
      <w:tr>
        <w:trPr>
          <w:cantSplit w:val="true"/>
        </w:trPr>
        <w:tc>
          <w:tcPr>
            <w:tcW w:type="dxa" w:w="1474"/>
          </w:tcPr>
          <w:p>
            <w:pPr>
              <w:spacing w:after="0" w:before="0"/>
            </w:pPr>
            <w:r/>
            <w:r>
              <w:rPr>
                <w:b w:val="0"/>
                <w:i w:val="0"/>
                <w:color w:val="1A1A1A"/>
                <w:sz w:val="17"/>
              </w:rPr>
              <w:t>Wer verantwortlich ist</w:t>
            </w:r>
          </w:p>
        </w:tc>
        <w:tc>
          <w:tcPr>
            <w:tcW w:type="dxa" w:w="2721"/>
          </w:tcPr>
          <w:p>
            <w:pPr>
              <w:spacing w:after="0" w:before="0"/>
            </w:pPr>
            <w:r/>
            <w:r>
              <w:rPr>
                <w:b w:val="0"/>
                <w:i w:val="0"/>
                <w:color w:val="1A1A1A"/>
                <w:sz w:val="17"/>
              </w:rPr>
              <w:t>der Betreiber, für Sicherheit und Einhaltung der Vorschriften (§ 38 Abs. 1)</w:t>
            </w:r>
          </w:p>
        </w:tc>
        <w:tc>
          <w:tcPr>
            <w:tcW w:type="dxa" w:w="2721"/>
          </w:tcPr>
          <w:p>
            <w:pPr>
              <w:spacing w:after="0" w:before="0"/>
            </w:pPr>
            <w:r/>
            <w:r>
              <w:rPr>
                <w:b w:val="0"/>
                <w:i w:val="0"/>
                <w:color w:val="1A1A1A"/>
                <w:sz w:val="17"/>
              </w:rPr>
              <w:t>nach Landesrecht</w:t>
            </w:r>
          </w:p>
        </w:tc>
        <w:tc>
          <w:tcPr>
            <w:tcW w:type="dxa" w:w="2721"/>
          </w:tcPr>
          <w:p>
            <w:pPr>
              <w:spacing w:after="0" w:before="0"/>
            </w:pPr>
            <w:r/>
            <w:r>
              <w:rPr>
                <w:b w:val="0"/>
                <w:i w:val="0"/>
                <w:color w:val="1A1A1A"/>
                <w:sz w:val="17"/>
              </w:rPr>
              <w:t>nach kantonalem Recht</w:t>
            </w:r>
          </w:p>
        </w:tc>
      </w:tr>
      <w:tr>
        <w:trPr>
          <w:cantSplit w:val="true"/>
        </w:trPr>
        <w:tc>
          <w:tcPr>
            <w:tcW w:type="dxa" w:w="1474"/>
            <w:shd w:val="clear" w:color="auto" w:fill="F3EFE6"/>
          </w:tcPr>
          <w:p>
            <w:pPr>
              <w:spacing w:after="0" w:before="0"/>
            </w:pPr>
            <w:r/>
            <w:r>
              <w:rPr>
                <w:b w:val="0"/>
                <w:i w:val="0"/>
                <w:color w:val="1A1A1A"/>
                <w:sz w:val="17"/>
              </w:rPr>
              <w:t>Übertragung auf den Veranstalter</w:t>
            </w:r>
          </w:p>
        </w:tc>
        <w:tc>
          <w:tcPr>
            <w:tcW w:type="dxa" w:w="2721"/>
            <w:shd w:val="clear" w:color="auto" w:fill="F3EFE6"/>
          </w:tcPr>
          <w:p>
            <w:pPr>
              <w:spacing w:after="0" w:before="0"/>
            </w:pPr>
            <w:r/>
            <w:r>
              <w:rPr>
                <w:b w:val="0"/>
                <w:i w:val="0"/>
                <w:color w:val="1A1A1A"/>
                <w:sz w:val="17"/>
              </w:rPr>
              <w:t>schriftlich, wenn er mit der Stätte vertraut ist; Verantwortung des Betreibers bleibt (§ 38 Abs. 5)</w:t>
            </w:r>
          </w:p>
        </w:tc>
        <w:tc>
          <w:tcPr>
            <w:tcW w:type="dxa" w:w="2721"/>
            <w:shd w:val="clear" w:color="auto" w:fill="F3EFE6"/>
          </w:tcPr>
          <w:p>
            <w:pPr>
              <w:spacing w:after="0" w:before="0"/>
            </w:pPr>
            <w:r/>
            <w:r>
              <w:rPr>
                <w:b w:val="0"/>
                <w:i w:val="0"/>
                <w:color w:val="1A1A1A"/>
                <w:sz w:val="17"/>
              </w:rPr>
              <w:t>nach Landesrecht</w:t>
            </w:r>
          </w:p>
        </w:tc>
        <w:tc>
          <w:tcPr>
            <w:tcW w:type="dxa" w:w="2721"/>
            <w:shd w:val="clear" w:color="auto" w:fill="F3EFE6"/>
          </w:tcPr>
          <w:p>
            <w:pPr>
              <w:spacing w:after="0" w:before="0"/>
            </w:pPr>
            <w:r/>
            <w:r>
              <w:rPr>
                <w:b w:val="0"/>
                <w:i w:val="0"/>
                <w:color w:val="1A1A1A"/>
                <w:sz w:val="17"/>
              </w:rPr>
              <w:t>nach kantonalem Recht</w:t>
            </w:r>
          </w:p>
        </w:tc>
      </w:tr>
      <w:tr>
        <w:trPr>
          <w:cantSplit w:val="true"/>
        </w:trPr>
        <w:tc>
          <w:tcPr>
            <w:tcW w:type="dxa" w:w="1474"/>
          </w:tcPr>
          <w:p>
            <w:pPr>
              <w:spacing w:after="0" w:before="0"/>
            </w:pPr>
            <w:r/>
            <w:r>
              <w:rPr>
                <w:b w:val="0"/>
                <w:i w:val="0"/>
                <w:color w:val="1A1A1A"/>
                <w:sz w:val="17"/>
              </w:rPr>
              <w:t>Ruhezeit nach dem Dienst</w:t>
            </w:r>
          </w:p>
        </w:tc>
        <w:tc>
          <w:tcPr>
            <w:tcW w:type="dxa" w:w="2721"/>
          </w:tcPr>
          <w:p>
            <w:pPr>
              <w:spacing w:after="0" w:before="0"/>
            </w:pPr>
            <w:r/>
            <w:r>
              <w:rPr>
                <w:b w:val="0"/>
                <w:i w:val="0"/>
                <w:color w:val="1A1A1A"/>
                <w:sz w:val="17"/>
              </w:rPr>
              <w:t>11 Stunden; im Gastgewerbe bis 1 Stunde kürzer, mit Ausgleich (§ 5 ArbZG)</w:t>
            </w:r>
          </w:p>
        </w:tc>
        <w:tc>
          <w:tcPr>
            <w:tcW w:type="dxa" w:w="2721"/>
          </w:tcPr>
          <w:p>
            <w:pPr>
              <w:spacing w:after="0" w:before="0"/>
            </w:pPr>
            <w:r/>
            <w:r>
              <w:rPr>
                <w:b w:val="0"/>
                <w:i w:val="0"/>
                <w:color w:val="1A1A1A"/>
                <w:sz w:val="17"/>
              </w:rPr>
              <w:t>11 Stunden; nur Küche und Service bei geteilten Diensten mit mindestens 3 Stunden Unterbrechung bis 8 Stunden, mit Ausgleich (§ 12 Abs. 2a AZG)</w:t>
            </w:r>
          </w:p>
        </w:tc>
        <w:tc>
          <w:tcPr>
            <w:tcW w:type="dxa" w:w="2721"/>
          </w:tcPr>
          <w:p>
            <w:pPr>
              <w:spacing w:after="0" w:before="0"/>
            </w:pPr>
            <w:r/>
            <w:r>
              <w:rPr>
                <w:b w:val="0"/>
                <w:i w:val="0"/>
                <w:color w:val="1A1A1A"/>
                <w:sz w:val="17"/>
              </w:rPr>
              <w:t>11 Stunden; einmal pro Woche bis 8, im Schnitt zweier Wochen 11 (Art. 15a ArG); Sonderbestimmungen für Gastbetriebe in der ArGV 2</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1.2 — Eine Veranstaltung als System aufnehmen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