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1.3</w:t>
      </w:r>
    </w:p>
    <w:p>
      <w:pPr>
        <w:pStyle w:val="Heading1"/>
      </w:pPr>
      <w:r>
        <w:t>Den Übergang zur Fassung 2024 entscheiden</w:t>
      </w:r>
    </w:p>
    <w:p>
      <w:pPr>
        <w:spacing w:after="0"/>
      </w:pPr>
      <w:r>
        <w:rPr>
          <w:b w:val="0"/>
          <w:i/>
          <w:color w:val="5A5A5A"/>
        </w:rPr>
        <w:t>Abschnitt 1.3 · ISO 20121:2024: was die zweite Ausgabe ändert</w:t>
      </w:r>
    </w:p>
    <w:p>
      <w:pPr>
        <w:spacing w:after="160"/>
      </w:pPr>
      <w:r>
        <w:rPr>
          <w:b w:val="0"/>
          <w:i w:val="0"/>
          <w:color w:val="5A5A5A"/>
          <w:sz w:val="18"/>
        </w:rPr>
        <w:t>Modellfall im Buch: Luzern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 Haus nach der ersten Ausgabe der Norm arbeitet: Halten Sie die neue Ausgabe für eine Aufgabe der Dokumentation oder für eine Frage an Ihren Verwaltungsrat? Und wer in Ihrem Haus hat sie gelesen, bevor über ihre Kosten entschieden wird?</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Die vier Abschnitte mit dem grössten Gewicht und wo sie im Haus landen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Abschnitt</w:t>
            </w:r>
          </w:p>
        </w:tc>
        <w:tc>
          <w:tcPr>
            <w:tcW w:type="dxa" w:w="3213"/>
            <w:shd w:val="clear" w:color="auto" w:fill="8C5A2B"/>
          </w:tcPr>
          <w:p>
            <w:pPr>
              <w:spacing w:after="0" w:before="0"/>
            </w:pPr>
            <w:r/>
            <w:r>
              <w:rPr>
                <w:b/>
                <w:i w:val="0"/>
                <w:color w:val="FFFFFF"/>
                <w:sz w:val="18"/>
              </w:rPr>
              <w:t>Was er verlangt</w:t>
            </w:r>
          </w:p>
        </w:tc>
        <w:tc>
          <w:tcPr>
            <w:tcW w:type="dxa" w:w="3213"/>
            <w:shd w:val="clear" w:color="auto" w:fill="8C5A2B"/>
          </w:tcPr>
          <w:p>
            <w:pPr>
              <w:spacing w:after="0" w:before="0"/>
            </w:pPr>
            <w:r/>
            <w:r>
              <w:rPr>
                <w:b/>
                <w:i w:val="0"/>
                <w:color w:val="FFFFFF"/>
                <w:sz w:val="18"/>
              </w:rPr>
              <w:t>Wo es im Haus landet</w:t>
            </w:r>
          </w:p>
        </w:tc>
      </w:tr>
      <w:tr>
        <w:trPr>
          <w:cantSplit w:val="true"/>
        </w:trPr>
        <w:tc>
          <w:tcPr>
            <w:tcW w:type="dxa" w:w="3213"/>
          </w:tcPr>
          <w:p>
            <w:pPr>
              <w:spacing w:after="0" w:before="0"/>
            </w:pPr>
            <w:r/>
            <w:r>
              <w:rPr>
                <w:b w:val="0"/>
                <w:i w:val="0"/>
                <w:color w:val="1A1A1A"/>
                <w:sz w:val="18"/>
              </w:rPr>
              <w:t>4.5 Leitprinzipien (neu gefasst)</w:t>
            </w:r>
          </w:p>
        </w:tc>
        <w:tc>
          <w:tcPr>
            <w:tcW w:type="dxa" w:w="3213"/>
          </w:tcPr>
          <w:p>
            <w:pPr>
              <w:spacing w:after="0" w:before="0"/>
            </w:pPr>
            <w:r/>
            <w:r>
              <w:rPr>
                <w:b w:val="0"/>
                <w:i w:val="0"/>
                <w:color w:val="1A1A1A"/>
                <w:sz w:val="18"/>
              </w:rPr>
              <w:t>Grundsätze ins Leitbild; Zweck, Nutzen, Risiken und Werte festlegen; Rahmen für Politik, Ziele, Pläne</w:t>
            </w:r>
          </w:p>
        </w:tc>
        <w:tc>
          <w:tcPr>
            <w:tcW w:type="dxa" w:w="3213"/>
          </w:tcPr>
          <w:p>
            <w:pPr>
              <w:spacing w:after="0" w:before="0"/>
            </w:pPr>
            <w:r/>
            <w:r>
              <w:rPr>
                <w:b w:val="0"/>
                <w:i w:val="0"/>
                <w:color w:val="1A1A1A"/>
                <w:sz w:val="18"/>
              </w:rPr>
              <w:t>Verwaltungsrat und Direktion</w:t>
            </w:r>
          </w:p>
        </w:tc>
      </w:tr>
      <w:tr>
        <w:trPr>
          <w:cantSplit w:val="true"/>
        </w:trPr>
        <w:tc>
          <w:tcPr>
            <w:tcW w:type="dxa" w:w="3213"/>
            <w:shd w:val="clear" w:color="auto" w:fill="F3EFE6"/>
          </w:tcPr>
          <w:p>
            <w:pPr>
              <w:spacing w:after="0" w:before="0"/>
            </w:pPr>
            <w:r/>
            <w:r>
              <w:rPr>
                <w:b w:val="0"/>
                <w:i w:val="0"/>
                <w:color w:val="1A1A1A"/>
                <w:sz w:val="18"/>
              </w:rPr>
              <w:t>6.3 Planung von Änderungen (neu)</w:t>
            </w:r>
          </w:p>
        </w:tc>
        <w:tc>
          <w:tcPr>
            <w:tcW w:type="dxa" w:w="3213"/>
            <w:shd w:val="clear" w:color="auto" w:fill="F3EFE6"/>
          </w:tcPr>
          <w:p>
            <w:pPr>
              <w:spacing w:after="0" w:before="0"/>
            </w:pPr>
            <w:r/>
            <w:r>
              <w:rPr>
                <w:b w:val="0"/>
                <w:i w:val="0"/>
                <w:color w:val="1A1A1A"/>
                <w:sz w:val="18"/>
              </w:rPr>
              <w:t>Änderungen am System geplant vornehmen</w:t>
            </w:r>
          </w:p>
        </w:tc>
        <w:tc>
          <w:tcPr>
            <w:tcW w:type="dxa" w:w="3213"/>
            <w:shd w:val="clear" w:color="auto" w:fill="F3EFE6"/>
          </w:tcPr>
          <w:p>
            <w:pPr>
              <w:spacing w:after="0" w:before="0"/>
            </w:pPr>
            <w:r/>
            <w:r>
              <w:rPr>
                <w:b w:val="0"/>
                <w:i w:val="0"/>
                <w:color w:val="1A1A1A"/>
                <w:sz w:val="18"/>
              </w:rPr>
              <w:t>Nachhaltigkeitsverantwortliche, mit Freigabe der Direktion</w:t>
            </w:r>
          </w:p>
        </w:tc>
      </w:tr>
      <w:tr>
        <w:trPr>
          <w:cantSplit w:val="true"/>
        </w:trPr>
        <w:tc>
          <w:tcPr>
            <w:tcW w:type="dxa" w:w="3213"/>
          </w:tcPr>
          <w:p>
            <w:pPr>
              <w:spacing w:after="0" w:before="0"/>
            </w:pPr>
            <w:r/>
            <w:r>
              <w:rPr>
                <w:b w:val="0"/>
                <w:i w:val="0"/>
                <w:color w:val="1A1A1A"/>
                <w:sz w:val="18"/>
              </w:rPr>
              <w:t>8.2 Änderungen managen (neu gefasst)</w:t>
            </w:r>
          </w:p>
        </w:tc>
        <w:tc>
          <w:tcPr>
            <w:tcW w:type="dxa" w:w="3213"/>
          </w:tcPr>
          <w:p>
            <w:pPr>
              <w:spacing w:after="0" w:before="0"/>
            </w:pPr>
            <w:r/>
            <w:r>
              <w:rPr>
                <w:b w:val="0"/>
                <w:i w:val="0"/>
                <w:color w:val="1A1A1A"/>
                <w:sz w:val="18"/>
              </w:rPr>
              <w:t>bestmögliche praktikable Lösungen im Einklang mit Leitbild und Politik; Entscheidungen bewerten; Lehren an 9.3</w:t>
            </w:r>
          </w:p>
        </w:tc>
        <w:tc>
          <w:tcPr>
            <w:tcW w:type="dxa" w:w="3213"/>
          </w:tcPr>
          <w:p>
            <w:pPr>
              <w:spacing w:after="0" w:before="0"/>
            </w:pPr>
            <w:r/>
            <w:r>
              <w:rPr>
                <w:b w:val="0"/>
                <w:i w:val="0"/>
                <w:color w:val="1A1A1A"/>
                <w:sz w:val="18"/>
              </w:rPr>
              <w:t>Kongress- und Bankettleitung; Direktion</w:t>
            </w:r>
          </w:p>
        </w:tc>
      </w:tr>
      <w:tr>
        <w:trPr>
          <w:cantSplit w:val="true"/>
        </w:trPr>
        <w:tc>
          <w:tcPr>
            <w:tcW w:type="dxa" w:w="3213"/>
            <w:shd w:val="clear" w:color="auto" w:fill="F3EFE6"/>
          </w:tcPr>
          <w:p>
            <w:pPr>
              <w:spacing w:after="0" w:before="0"/>
            </w:pPr>
            <w:r/>
            <w:r>
              <w:rPr>
                <w:b w:val="0"/>
                <w:i w:val="0"/>
                <w:color w:val="1A1A1A"/>
                <w:sz w:val="18"/>
              </w:rPr>
              <w:t>9.3.4 Leistung gegenüber den Leitprinzipien (2012 in 9.1)</w:t>
            </w:r>
          </w:p>
        </w:tc>
        <w:tc>
          <w:tcPr>
            <w:tcW w:type="dxa" w:w="3213"/>
            <w:shd w:val="clear" w:color="auto" w:fill="F3EFE6"/>
          </w:tcPr>
          <w:p>
            <w:pPr>
              <w:spacing w:after="0" w:before="0"/>
            </w:pPr>
            <w:r/>
            <w:r>
              <w:rPr>
                <w:b w:val="0"/>
                <w:i w:val="0"/>
                <w:color w:val="1A1A1A"/>
                <w:sz w:val="18"/>
              </w:rPr>
              <w:t>Ansatz festlegen; Bewertungen gegenüber Zweck, Werten und Leitprinzipien durchführen</w:t>
            </w:r>
          </w:p>
        </w:tc>
        <w:tc>
          <w:tcPr>
            <w:tcW w:type="dxa" w:w="3213"/>
            <w:shd w:val="clear" w:color="auto" w:fill="F3EFE6"/>
          </w:tcPr>
          <w:p>
            <w:pPr>
              <w:spacing w:after="0" w:before="0"/>
            </w:pPr>
            <w:r/>
            <w:r>
              <w:rPr>
                <w:b w:val="0"/>
                <w:i w:val="0"/>
                <w:color w:val="1A1A1A"/>
                <w:sz w:val="18"/>
              </w:rPr>
              <w:t>Managementbewertung; Bericht an den Verwaltungsrat</w:t>
            </w:r>
          </w:p>
        </w:tc>
      </w:tr>
    </w:tbl>
    <w:p>
      <w:pPr>
        <w:spacing w:after="40"/>
      </w:pPr>
    </w:p>
    <w:p>
      <w:pPr>
        <w:pStyle w:val="Heading2"/>
      </w:pPr>
      <w:r>
        <w:t>Praktische Anwendung: den Übergang zur Fassung 2024 in sieben Schritten entscheiden</w:t>
      </w:r>
    </w:p>
    <w:p>
      <w:pPr>
        <w:tabs>
          <w:tab w:pos="340" w:val="left"/>
        </w:tabs>
        <w:ind w:left="340" w:hanging="340"/>
      </w:pPr>
      <w:r>
        <w:rPr>
          <w:b/>
          <w:color w:val="8C5A2B"/>
        </w:rPr>
        <w:t>1.</w:t>
        <w:tab/>
      </w:r>
      <w:r>
        <w:rPr>
          <w:b/>
        </w:rPr>
        <w:t>Die Abschnitte mit dem grössten Gewicht oben lesen lassen.</w:t>
      </w:r>
      <w:r>
        <w:t xml:space="preserve"> Der Verwaltungsrat oder die Eigentümerschaft erhält eine Zusammenfassung von 4.5, 6.3, 8.2 und 9.3.4 auf zwei Seiten, nicht einen Kostenantrag.</w:t>
      </w:r>
    </w:p>
    <w:p>
      <w:pPr>
        <w:tabs>
          <w:tab w:pos="340" w:val="left"/>
        </w:tabs>
        <w:ind w:left="340" w:hanging="340"/>
      </w:pPr>
      <w:r>
        <w:rPr>
          <w:b/>
          <w:color w:val="8C5A2B"/>
        </w:rPr>
        <w:t>2.</w:t>
        <w:tab/>
      </w:r>
      <w:r>
        <w:rPr>
          <w:b/>
        </w:rPr>
        <w:t>Die Lücken gegen das bestehende System aufnehmen.</w:t>
      </w:r>
      <w:r>
        <w:t xml:space="preserve"> Die Nachhaltigkeitsverantwortliche legt neben jeden dieser Abschnitte, was die Ausgabe 2012 dazu verlangte, was das Haus heute hat und was fehlt.</w:t>
      </w:r>
    </w:p>
    <w:p>
      <w:pPr>
        <w:tabs>
          <w:tab w:pos="340" w:val="left"/>
        </w:tabs>
        <w:ind w:left="340" w:hanging="340"/>
      </w:pPr>
      <w:r>
        <w:rPr>
          <w:b/>
          <w:color w:val="8C5A2B"/>
        </w:rPr>
        <w:t>3.</w:t>
        <w:tab/>
      </w:r>
      <w:r>
        <w:rPr>
          <w:b/>
        </w:rPr>
        <w:t>Das Leitbild neu fassen.</w:t>
      </w:r>
      <w:r>
        <w:t xml:space="preserve"> Die vier Leitprinzipien werden eingebunden, Zweck, Nutzen, Risiken und Werte festgelegt. Das oberste Gremium verabschiedet es selbst (1.7, 2.3).</w:t>
      </w:r>
    </w:p>
    <w:p>
      <w:pPr>
        <w:tabs>
          <w:tab w:pos="340" w:val="left"/>
        </w:tabs>
        <w:ind w:left="340" w:hanging="340"/>
      </w:pPr>
      <w:r>
        <w:rPr>
          <w:b/>
          <w:color w:val="8C5A2B"/>
        </w:rPr>
        <w:t>4.</w:t>
        <w:tab/>
      </w:r>
      <w:r>
        <w:rPr>
          <w:b/>
        </w:rPr>
        <w:t>Den Anwendungsbereich prüfen.</w:t>
      </w:r>
      <w:r>
        <w:t xml:space="preserve"> Gehören digitale und hybride Veranstaltungen dazu, und welche Leistungen der Übertragung liefert das Haus (1.14)?</w:t>
      </w:r>
    </w:p>
    <w:p>
      <w:pPr>
        <w:tabs>
          <w:tab w:pos="340" w:val="left"/>
        </w:tabs>
        <w:ind w:left="340" w:hanging="340"/>
      </w:pPr>
      <w:r>
        <w:rPr>
          <w:b/>
          <w:color w:val="8C5A2B"/>
        </w:rPr>
        <w:t>5.</w:t>
        <w:tab/>
      </w:r>
      <w:r>
        <w:rPr>
          <w:b/>
        </w:rPr>
        <w:t>Änderungen als Prozess fassen.</w:t>
      </w:r>
      <w:r>
        <w:t xml:space="preserve"> Wer entscheidet bei kurzfristigen Änderungen, nach welchem Massstab, und wie kommt die Lehre in die Managementbewertung (1.13, 2.10)?</w:t>
      </w:r>
    </w:p>
    <w:p>
      <w:pPr>
        <w:tabs>
          <w:tab w:pos="340" w:val="left"/>
        </w:tabs>
        <w:ind w:left="340" w:hanging="340"/>
      </w:pPr>
      <w:r>
        <w:rPr>
          <w:b/>
          <w:color w:val="8C5A2B"/>
        </w:rPr>
        <w:t>6.</w:t>
        <w:tab/>
      </w:r>
      <w:r>
        <w:rPr>
          <w:b/>
        </w:rPr>
        <w:t>Menschen- und Kinderrechte in die Themenliste aufnehmen.</w:t>
      </w:r>
      <w:r>
        <w:t xml:space="preserve"> Fremdfirmen, Leihpersonal, Mitwirkende unter achtzehn Jahren: Was weiss das Haus, was muss es fragen (1.15, 2.5)?</w:t>
      </w:r>
    </w:p>
    <w:p>
      <w:pPr>
        <w:tabs>
          <w:tab w:pos="340" w:val="left"/>
        </w:tabs>
        <w:ind w:left="340" w:hanging="340"/>
      </w:pPr>
      <w:r>
        <w:rPr>
          <w:b/>
          <w:color w:val="8C5A2B"/>
        </w:rPr>
        <w:t>7.</w:t>
        <w:tab/>
      </w:r>
      <w:r>
        <w:rPr>
          <w:b/>
        </w:rPr>
        <w:t>Die Bewertung gegen die Leitprinzipien festlegen.</w:t>
      </w:r>
      <w:r>
        <w:t xml:space="preserve"> Ein Ansatz, ein Termin in der Managementbewertung, ein Bericht an das oberste Gremium.</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Abschnitte mit dem grössten Gewicht oben lesen lassen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Lücken gegen das bestehende System aufnehmen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Das Leitbild neu fassen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Den Anwendungsbereich prüfen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Änderungen als Prozess fassen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Menschen- und Kinderrechte in die Themenliste aufnehmen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Bewertung gegen die Leitprinzipien festlegen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Hat jemand aus der Leitung die zweite Ausgabe selbst gelesen?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Kennen wir die vier Abschnitte mit dem grössten Gewicht und wissen wir, wo sie im Haus landen?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unser oberstes Gremium das Leitbild selbst verabschiedet?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Bildet das Leitbild erkennbar den Rahmen für Politik, Ziele und Pläne?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festgelegt, wer bei kurzfristigen Änderungen nach welchem Massstab entscheidet?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Kommen Lehren aus Änderungen in der Managementbewertung vor?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entschieden, ob digitale und hybride Veranstaltungen im Anwendungsbereich liegen?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Wissen wir, unter welchen Bedingungen die Fremdfirmen in unserem Haus arbeiten?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Revision der Dokumentation überlassen.</w:t>
      </w:r>
      <w:r>
        <w:t xml:space="preserve"> Zwei der vier Abschnitte mit dem grössten Gewicht richten sich an die Leitung, keiner an die Dokumentation.</w:t>
      </w:r>
    </w:p>
    <w:p>
      <w:pPr>
        <w:tabs>
          <w:tab w:pos="340" w:val="left"/>
        </w:tabs>
        <w:ind w:left="340" w:hanging="340"/>
      </w:pPr>
      <w:r>
        <w:rPr>
          <w:color w:val="8C5A2B"/>
        </w:rPr>
        <w:t>–</w:t>
        <w:tab/>
      </w:r>
      <w:r>
        <w:rPr>
          <w:b/>
        </w:rPr>
        <w:t>Die Gliederung für die Änderung halten.</w:t>
      </w:r>
      <w:r>
        <w:t xml:space="preserve"> Die Nummern sind neu, aber das Gewicht liegt in den neuen und neu gefassten Anforderungen.</w:t>
      </w:r>
    </w:p>
    <w:p>
      <w:pPr>
        <w:tabs>
          <w:tab w:pos="340" w:val="left"/>
        </w:tabs>
        <w:ind w:left="340" w:hanging="340"/>
      </w:pPr>
      <w:r>
        <w:rPr>
          <w:color w:val="8C5A2B"/>
        </w:rPr>
        <w:t>–</w:t>
        <w:tab/>
      </w:r>
      <w:r>
        <w:rPr>
          <w:b/>
        </w:rPr>
        <w:t>Die Leitprinzipien in den ersten Absatz schreiben und dort lassen.</w:t>
      </w:r>
      <w:r>
        <w:t xml:space="preserve"> Sie sind der Rahmen, an dem Entscheidungen gemessen werden.</w:t>
      </w:r>
    </w:p>
    <w:p>
      <w:pPr>
        <w:tabs>
          <w:tab w:pos="340" w:val="left"/>
        </w:tabs>
        <w:ind w:left="340" w:hanging="340"/>
      </w:pPr>
      <w:r>
        <w:rPr>
          <w:color w:val="8C5A2B"/>
        </w:rPr>
        <w:t>–</w:t>
        <w:tab/>
      </w:r>
      <w:r>
        <w:rPr>
          <w:b/>
        </w:rPr>
        <w:t>Änderungen weiter improvisieren.</w:t>
      </w:r>
      <w:r>
        <w:t xml:space="preserve"> Ohne Lehre in der Managementbewertung wiederholt sich derselbe Fall.</w:t>
      </w:r>
    </w:p>
    <w:p>
      <w:pPr>
        <w:tabs>
          <w:tab w:pos="340" w:val="left"/>
        </w:tabs>
        <w:ind w:left="340" w:hanging="340"/>
      </w:pPr>
      <w:r>
        <w:rPr>
          <w:color w:val="8C5A2B"/>
        </w:rPr>
        <w:t>–</w:t>
        <w:tab/>
      </w:r>
      <w:r>
        <w:rPr>
          <w:b/>
        </w:rPr>
        <w:t>Die Reifegradmatrix zur Note machen.</w:t>
      </w:r>
      <w:r>
        <w:t xml:space="preserve"> Die Norm ist ausdrücklich kein Punktesystem.</w:t>
      </w:r>
    </w:p>
    <w:p>
      <w:pPr>
        <w:tabs>
          <w:tab w:pos="340" w:val="left"/>
        </w:tabs>
        <w:ind w:left="340" w:hanging="340"/>
      </w:pPr>
      <w:r>
        <w:rPr>
          <w:color w:val="8C5A2B"/>
        </w:rPr>
        <w:t>–</w:t>
        <w:tab/>
      </w:r>
      <w:r>
        <w:rPr>
          <w:b/>
        </w:rPr>
        <w:t>Menschenrechte für ein fernes Thema halten.</w:t>
      </w:r>
      <w:r>
        <w:t xml:space="preserve"> Sie beginnen bei der Fremdfirma, die nachts den Saal reinigt.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Externe Unterstützung nach der Vorlage der Direktion</w:t>
            </w:r>
          </w:p>
        </w:tc>
        <w:tc>
          <w:tcPr>
            <w:tcW w:type="dxa" w:w="1474"/>
          </w:tcPr>
          <w:p>
            <w:pPr>
              <w:spacing w:after="0" w:before="0"/>
            </w:pPr>
            <w:r/>
            <w:r>
              <w:rPr>
                <w:b w:val="0"/>
                <w:i w:val="0"/>
                <w:color w:val="1A1A1A"/>
                <w:sz w:val="18"/>
              </w:rPr>
              <w:t>CHF 12.000</w:t>
            </w:r>
          </w:p>
        </w:tc>
        <w:tc>
          <w:tcPr>
            <w:tcW w:type="dxa" w:w="3175"/>
          </w:tcPr>
          <w:p>
            <w:pPr>
              <w:spacing w:after="0" w:before="0"/>
            </w:pPr>
            <w:r/>
            <w:r>
              <w:rPr>
                <w:b w:val="0"/>
                <w:i w:val="0"/>
                <w:color w:val="1A1A1A"/>
                <w:sz w:val="18"/>
              </w:rPr>
              <w:t>nur Dokumentation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Eigene Arbeit der Nachhaltigkeitsverantwortlichen: 380 Stunden zu CHF 75</w:t>
            </w:r>
          </w:p>
        </w:tc>
        <w:tc>
          <w:tcPr>
            <w:tcW w:type="dxa" w:w="1474"/>
            <w:shd w:val="clear" w:color="auto" w:fill="F3EFE6"/>
          </w:tcPr>
          <w:p>
            <w:pPr>
              <w:spacing w:after="0" w:before="0"/>
            </w:pPr>
            <w:r/>
            <w:r>
              <w:rPr>
                <w:b w:val="0"/>
                <w:i w:val="0"/>
                <w:color w:val="1A1A1A"/>
                <w:sz w:val="18"/>
              </w:rPr>
              <w:t>CHF 28.500</w:t>
            </w:r>
          </w:p>
        </w:tc>
        <w:tc>
          <w:tcPr>
            <w:tcW w:type="dxa" w:w="3175"/>
            <w:shd w:val="clear" w:color="auto" w:fill="F3EFE6"/>
          </w:tcPr>
          <w:p>
            <w:pPr>
              <w:spacing w:after="0" w:before="0"/>
            </w:pPr>
            <w:r/>
            <w:r>
              <w:rPr>
                <w:b w:val="0"/>
                <w:i w:val="0"/>
                <w:color w:val="1A1A1A"/>
                <w:sz w:val="18"/>
              </w:rPr>
              <w:t>Lückenliste, Leitbild, Prozesse, Bewertung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Externe Begleitung für Leitbild und Bewertung</w:t>
            </w:r>
          </w:p>
        </w:tc>
        <w:tc>
          <w:tcPr>
            <w:tcW w:type="dxa" w:w="1474"/>
          </w:tcPr>
          <w:p>
            <w:pPr>
              <w:spacing w:after="0" w:before="0"/>
            </w:pPr>
            <w:r/>
            <w:r>
              <w:rPr>
                <w:b w:val="0"/>
                <w:i w:val="0"/>
                <w:color w:val="1A1A1A"/>
                <w:sz w:val="18"/>
              </w:rPr>
              <w:t>CHF 9.000</w:t>
            </w:r>
          </w:p>
        </w:tc>
        <w:tc>
          <w:tcPr>
            <w:tcW w:type="dxa" w:w="3175"/>
          </w:tcPr>
          <w:p>
            <w:pPr>
              <w:spacing w:after="0" w:before="0"/>
            </w:pPr>
            <w:r/>
            <w:r>
              <w:rPr>
                <w:b w:val="0"/>
                <w:i w:val="0"/>
                <w:color w:val="1A1A1A"/>
                <w:sz w:val="18"/>
              </w:rPr>
              <w:t>statt der CHF 12.000 für Dokumente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Schulung: 120 Mitarbeitende zu 1,5 Stunden, 180 Stunden zu CHF 47</w:t>
            </w:r>
          </w:p>
        </w:tc>
        <w:tc>
          <w:tcPr>
            <w:tcW w:type="dxa" w:w="1474"/>
            <w:shd w:val="clear" w:color="auto" w:fill="F3EFE6"/>
          </w:tcPr>
          <w:p>
            <w:pPr>
              <w:spacing w:after="0" w:before="0"/>
            </w:pPr>
            <w:r/>
            <w:r>
              <w:rPr>
                <w:b w:val="0"/>
                <w:i w:val="0"/>
                <w:color w:val="1A1A1A"/>
                <w:sz w:val="18"/>
              </w:rPr>
              <w:t>CHF 8.460</w:t>
            </w:r>
          </w:p>
        </w:tc>
        <w:tc>
          <w:tcPr>
            <w:tcW w:type="dxa" w:w="3175"/>
            <w:shd w:val="clear" w:color="auto" w:fill="F3EFE6"/>
          </w:tcPr>
          <w:p>
            <w:pPr>
              <w:spacing w:after="0" w:before="0"/>
            </w:pPr>
            <w:r/>
            <w:r>
              <w:rPr>
                <w:b w:val="0"/>
                <w:i w:val="0"/>
                <w:color w:val="1A1A1A"/>
                <w:sz w:val="18"/>
              </w:rPr>
              <w:t>einmalig, im Dienst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Verwaltungsrat: Klausur zum Leitbild, 5 Personen zu 6 Stunden</w:t>
            </w:r>
          </w:p>
        </w:tc>
        <w:tc>
          <w:tcPr>
            <w:tcW w:type="dxa" w:w="1474"/>
          </w:tcPr>
          <w:p>
            <w:pPr>
              <w:spacing w:after="0" w:before="0"/>
            </w:pPr>
            <w:r/>
            <w:r>
              <w:rPr>
                <w:b w:val="0"/>
                <w:i w:val="0"/>
                <w:color w:val="1A1A1A"/>
                <w:sz w:val="18"/>
              </w:rPr>
              <w:t>30 Stunden</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Kongressumsatz mit Kunden, die nach einem System fragen</w:t>
            </w:r>
          </w:p>
        </w:tc>
        <w:tc>
          <w:tcPr>
            <w:tcW w:type="dxa" w:w="1474"/>
            <w:shd w:val="clear" w:color="auto" w:fill="F3EFE6"/>
          </w:tcPr>
          <w:p>
            <w:pPr>
              <w:spacing w:after="0" w:before="0"/>
            </w:pPr>
            <w:r/>
            <w:r>
              <w:rPr>
                <w:b w:val="0"/>
                <w:i w:val="0"/>
                <w:color w:val="1A1A1A"/>
                <w:sz w:val="18"/>
              </w:rPr>
              <w:t>CHF 2,4 Mio.</w:t>
            </w:r>
          </w:p>
        </w:tc>
        <w:tc>
          <w:tcPr>
            <w:tcW w:type="dxa" w:w="3175"/>
            <w:shd w:val="clear" w:color="auto" w:fill="F3EFE6"/>
          </w:tcPr>
          <w:p>
            <w:pPr>
              <w:spacing w:after="0" w:before="0"/>
            </w:pPr>
            <w:r/>
            <w:r>
              <w:rPr>
                <w:b w:val="0"/>
                <w:i w:val="0"/>
                <w:color w:val="1A1A1A"/>
                <w:sz w:val="18"/>
              </w:rPr>
              <w:t>jährlich; Annahme für Luzern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Vorlage der Direktion war billiger und hätte ein Zertifikat gesichert. Die Rechnung von Lea Bucher kostet mehr, und sie kostet vor allem Zeit von Menschen, die sonst nicht an Normen arbeiten: dreissig Stunden des Verwaltungsrats.</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Leitprinzipien ins Leitbild; Zweck, Nutzen, Risiken, Werte dokumentiert (4.5)</w:t>
            </w:r>
          </w:p>
        </w:tc>
        <w:tc>
          <w:tcPr>
            <w:tcW w:type="dxa" w:w="3175"/>
          </w:tcPr>
          <w:p>
            <w:pPr>
              <w:spacing w:after="0" w:before="0"/>
            </w:pPr>
            <w:r/>
            <w:r>
              <w:rPr>
                <w:b w:val="0"/>
                <w:i w:val="0"/>
                <w:color w:val="1A1A1A"/>
                <w:sz w:val="18"/>
              </w:rPr>
              <w:t>Leitbild, vom Verwaltungsrat verabschiedet</w:t>
            </w:r>
          </w:p>
        </w:tc>
        <w:tc>
          <w:tcPr>
            <w:tcW w:type="dxa" w:w="3175"/>
          </w:tcPr>
          <w:p>
            <w:pPr>
              <w:spacing w:after="0" w:before="0"/>
            </w:pPr>
            <w:r/>
            <w:r>
              <w:rPr>
                <w:b w:val="0"/>
                <w:i w:val="0"/>
                <w:color w:val="1A1A1A"/>
                <w:sz w:val="18"/>
              </w:rPr>
              <w:t>Mindestgrundsätze, ISO 26000, UN-Behindertenrechtskonvention (A.6)</w:t>
            </w:r>
          </w:p>
        </w:tc>
      </w:tr>
      <w:tr>
        <w:trPr>
          <w:cantSplit w:val="true"/>
        </w:trPr>
        <w:tc>
          <w:tcPr>
            <w:tcW w:type="dxa" w:w="3288"/>
            <w:shd w:val="clear" w:color="auto" w:fill="F3EFE6"/>
          </w:tcPr>
          <w:p>
            <w:pPr>
              <w:spacing w:after="0" w:before="0"/>
            </w:pPr>
            <w:r/>
            <w:r>
              <w:rPr>
                <w:b w:val="0"/>
                <w:i w:val="0"/>
                <w:color w:val="1A1A1A"/>
                <w:sz w:val="18"/>
              </w:rPr>
              <w:t>Politik mit Verweis auf das Leitbild, datiert und unterzeichnet (5.2)</w:t>
            </w:r>
          </w:p>
        </w:tc>
        <w:tc>
          <w:tcPr>
            <w:tcW w:type="dxa" w:w="3175"/>
            <w:shd w:val="clear" w:color="auto" w:fill="F3EFE6"/>
          </w:tcPr>
          <w:p>
            <w:pPr>
              <w:spacing w:after="0" w:before="0"/>
            </w:pPr>
            <w:r/>
            <w:r>
              <w:rPr>
                <w:b w:val="0"/>
                <w:i w:val="0"/>
                <w:color w:val="1A1A1A"/>
                <w:sz w:val="18"/>
              </w:rPr>
              <w:t>unterzeichnete Politik</w:t>
            </w:r>
          </w:p>
        </w:tc>
        <w:tc>
          <w:tcPr>
            <w:tcW w:type="dxa" w:w="3175"/>
            <w:shd w:val="clear" w:color="auto" w:fill="F3EFE6"/>
          </w:tcPr>
          <w:p>
            <w:pPr>
              <w:spacing w:after="0" w:before="0"/>
            </w:pPr>
            <w:r/>
            <w:r>
              <w:rPr>
                <w:b w:val="0"/>
                <w:i w:val="0"/>
                <w:color w:val="1A1A1A"/>
                <w:sz w:val="18"/>
              </w:rPr>
              <w:t>Hinweise zur Politik (A.8)</w:t>
            </w:r>
          </w:p>
        </w:tc>
      </w:tr>
      <w:tr>
        <w:trPr>
          <w:cantSplit w:val="true"/>
        </w:trPr>
        <w:tc>
          <w:tcPr>
            <w:tcW w:type="dxa" w:w="3288"/>
          </w:tcPr>
          <w:p>
            <w:pPr>
              <w:spacing w:after="0" w:before="0"/>
            </w:pPr>
            <w:r/>
            <w:r>
              <w:rPr>
                <w:b w:val="0"/>
                <w:i w:val="0"/>
                <w:color w:val="1A1A1A"/>
                <w:sz w:val="18"/>
              </w:rPr>
              <w:t>Änderungen am System geplant (6.3)</w:t>
            </w:r>
          </w:p>
        </w:tc>
        <w:tc>
          <w:tcPr>
            <w:tcW w:type="dxa" w:w="3175"/>
          </w:tcPr>
          <w:p>
            <w:pPr>
              <w:spacing w:after="0" w:before="0"/>
            </w:pPr>
            <w:r/>
            <w:r>
              <w:rPr>
                <w:b w:val="0"/>
                <w:i w:val="0"/>
                <w:color w:val="1A1A1A"/>
                <w:sz w:val="18"/>
              </w:rPr>
              <w:t>Plan für die Umstellung mit Terminen</w:t>
            </w:r>
          </w:p>
        </w:tc>
        <w:tc>
          <w:tcPr>
            <w:tcW w:type="dxa" w:w="3175"/>
          </w:tcPr>
          <w:p>
            <w:pPr>
              <w:spacing w:after="0" w:before="0"/>
            </w:pPr>
            <w:r/>
            <w:r>
              <w:rPr>
                <w:b w:val="0"/>
                <w:i w:val="0"/>
                <w:color w:val="1A1A1A"/>
                <w:sz w:val="18"/>
              </w:rPr>
              <w:t>Methode: Lückenliste gegen die alte Fassung</w:t>
            </w:r>
          </w:p>
        </w:tc>
      </w:tr>
      <w:tr>
        <w:trPr>
          <w:cantSplit w:val="true"/>
        </w:trPr>
        <w:tc>
          <w:tcPr>
            <w:tcW w:type="dxa" w:w="3288"/>
            <w:shd w:val="clear" w:color="auto" w:fill="F3EFE6"/>
          </w:tcPr>
          <w:p>
            <w:pPr>
              <w:spacing w:after="0" w:before="0"/>
            </w:pPr>
            <w:r/>
            <w:r>
              <w:rPr>
                <w:b w:val="0"/>
                <w:i w:val="0"/>
                <w:color w:val="1A1A1A"/>
                <w:sz w:val="18"/>
              </w:rPr>
              <w:t>Änderungen im Betrieb managen, Lehren an die Managementbewertung (8.2)</w:t>
            </w:r>
          </w:p>
        </w:tc>
        <w:tc>
          <w:tcPr>
            <w:tcW w:type="dxa" w:w="3175"/>
            <w:shd w:val="clear" w:color="auto" w:fill="F3EFE6"/>
          </w:tcPr>
          <w:p>
            <w:pPr>
              <w:spacing w:after="0" w:before="0"/>
            </w:pPr>
            <w:r/>
            <w:r>
              <w:rPr>
                <w:b w:val="0"/>
                <w:i w:val="0"/>
                <w:color w:val="1A1A1A"/>
                <w:sz w:val="18"/>
              </w:rPr>
              <w:t>Änderungsvermerk je Veranstaltung</w:t>
            </w:r>
          </w:p>
        </w:tc>
        <w:tc>
          <w:tcPr>
            <w:tcW w:type="dxa" w:w="3175"/>
            <w:shd w:val="clear" w:color="auto" w:fill="F3EFE6"/>
          </w:tcPr>
          <w:p>
            <w:pPr>
              <w:spacing w:after="0" w:before="0"/>
            </w:pPr>
            <w:r/>
            <w:r>
              <w:rPr>
                <w:b w:val="0"/>
                <w:i w:val="0"/>
                <w:color w:val="1A1A1A"/>
                <w:sz w:val="18"/>
              </w:rPr>
              <w:t>Prozesse nach Vorfällen überprüfen (A.17)</w:t>
            </w:r>
          </w:p>
        </w:tc>
      </w:tr>
      <w:tr>
        <w:trPr>
          <w:cantSplit w:val="true"/>
        </w:trPr>
        <w:tc>
          <w:tcPr>
            <w:tcW w:type="dxa" w:w="3288"/>
          </w:tcPr>
          <w:p>
            <w:pPr>
              <w:spacing w:after="0" w:before="0"/>
            </w:pPr>
            <w:r/>
            <w:r>
              <w:rPr>
                <w:b w:val="0"/>
                <w:i w:val="0"/>
                <w:color w:val="1A1A1A"/>
                <w:sz w:val="18"/>
              </w:rPr>
              <w:t>Bewertung gegenüber Zweck, Werten und Leitprinzipien (9.3.4)</w:t>
            </w:r>
          </w:p>
        </w:tc>
        <w:tc>
          <w:tcPr>
            <w:tcW w:type="dxa" w:w="3175"/>
          </w:tcPr>
          <w:p>
            <w:pPr>
              <w:spacing w:after="0" w:before="0"/>
            </w:pPr>
            <w:r/>
            <w:r>
              <w:rPr>
                <w:b w:val="0"/>
                <w:i w:val="0"/>
                <w:color w:val="1A1A1A"/>
                <w:sz w:val="18"/>
              </w:rPr>
              <w:t>eigener Teil der Managementbewertung</w:t>
            </w:r>
          </w:p>
        </w:tc>
        <w:tc>
          <w:tcPr>
            <w:tcW w:type="dxa" w:w="3175"/>
          </w:tcPr>
          <w:p>
            <w:pPr>
              <w:spacing w:after="0" w:before="0"/>
            </w:pPr>
            <w:r/>
            <w:r>
              <w:rPr>
                <w:b w:val="0"/>
                <w:i w:val="0"/>
                <w:color w:val="1A1A1A"/>
                <w:sz w:val="18"/>
              </w:rPr>
              <w:t>Reifegradmatrix (Tabelle A.5)</w:t>
            </w:r>
          </w:p>
        </w:tc>
      </w:tr>
      <w:tr>
        <w:trPr>
          <w:cantSplit w:val="true"/>
        </w:trPr>
        <w:tc>
          <w:tcPr>
            <w:tcW w:type="dxa" w:w="3288"/>
            <w:shd w:val="clear" w:color="auto" w:fill="F3EFE6"/>
          </w:tcPr>
          <w:p>
            <w:pPr>
              <w:spacing w:after="0" w:before="0"/>
            </w:pPr>
            <w:r/>
            <w:r>
              <w:rPr>
                <w:b w:val="0"/>
                <w:i w:val="0"/>
                <w:color w:val="1A1A1A"/>
                <w:sz w:val="18"/>
              </w:rPr>
              <w:t>Themen identifizieren und bewerten (6.1.2)</w:t>
            </w:r>
          </w:p>
        </w:tc>
        <w:tc>
          <w:tcPr>
            <w:tcW w:type="dxa" w:w="3175"/>
            <w:shd w:val="clear" w:color="auto" w:fill="F3EFE6"/>
          </w:tcPr>
          <w:p>
            <w:pPr>
              <w:spacing w:after="0" w:before="0"/>
            </w:pPr>
            <w:r/>
            <w:r>
              <w:rPr>
                <w:b w:val="0"/>
                <w:i w:val="0"/>
                <w:color w:val="1A1A1A"/>
                <w:sz w:val="18"/>
              </w:rPr>
              <w:t>Themenliste mit Arbeitsbedingungen der Fremdfirmen</w:t>
            </w:r>
          </w:p>
        </w:tc>
        <w:tc>
          <w:tcPr>
            <w:tcW w:type="dxa" w:w="3175"/>
            <w:shd w:val="clear" w:color="auto" w:fill="F3EFE6"/>
          </w:tcPr>
          <w:p>
            <w:pPr>
              <w:spacing w:after="0" w:before="0"/>
            </w:pPr>
            <w:r/>
            <w:r>
              <w:rPr>
                <w:b w:val="0"/>
                <w:i w:val="0"/>
                <w:color w:val="1A1A1A"/>
                <w:sz w:val="18"/>
              </w:rPr>
              <w:t>Menschen- und Kinderrechte (Anhang D); Themen (Tabelle C.1)</w:t>
            </w:r>
          </w:p>
        </w:tc>
      </w:tr>
    </w:tbl>
    <w:p>
      <w:pPr>
        <w:spacing w:after="40"/>
      </w:pPr>
    </w:p>
    <w:p>
      <w:pPr>
        <w:pStyle w:val="Heading2"/>
      </w:pPr>
      <w:r>
        <w:t>DACH-Anker: was neben der Norm nach denselben Themen fragt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Menschenrechtliche Sorgfalt, national</w:t>
            </w:r>
          </w:p>
        </w:tc>
        <w:tc>
          <w:tcPr>
            <w:tcW w:type="dxa" w:w="2721"/>
          </w:tcPr>
          <w:p>
            <w:pPr>
              <w:spacing w:after="0" w:before="0"/>
            </w:pPr>
            <w:r/>
            <w:r>
              <w:rPr>
                <w:b w:val="0"/>
                <w:i w:val="0"/>
                <w:color w:val="1A1A1A"/>
                <w:sz w:val="17"/>
              </w:rPr>
              <w:t>Lieferkettensorgfaltspflichtengesetz ab 1.000 Beschäftigten im Inland</w:t>
            </w:r>
          </w:p>
        </w:tc>
        <w:tc>
          <w:tcPr>
            <w:tcW w:type="dxa" w:w="2721"/>
          </w:tcPr>
          <w:p>
            <w:pPr>
              <w:spacing w:after="0" w:before="0"/>
            </w:pPr>
            <w:r/>
            <w:r>
              <w:rPr>
                <w:b w:val="0"/>
                <w:i w:val="0"/>
                <w:color w:val="1A1A1A"/>
                <w:sz w:val="17"/>
              </w:rPr>
              <w:t>Umsetzung der EU-Richtlinie, siehe nächste Zeile</w:t>
            </w:r>
          </w:p>
        </w:tc>
        <w:tc>
          <w:tcPr>
            <w:tcW w:type="dxa" w:w="2721"/>
          </w:tcPr>
          <w:p>
            <w:pPr>
              <w:spacing w:after="0" w:before="0"/>
            </w:pPr>
            <w:r/>
            <w:r>
              <w:rPr>
                <w:b w:val="0"/>
                <w:i w:val="0"/>
                <w:color w:val="1A1A1A"/>
                <w:sz w:val="17"/>
              </w:rPr>
              <w:t>Art. 964j ff. OR: Prüfung auf Kinderarbeit seit Geschäftsjahr 2023, mit Befreiungen (Art. 5–7 VSoTr), nicht bei offensichtlicher Kinderarbeit (Art. 8 VSoTr)</w:t>
            </w:r>
          </w:p>
        </w:tc>
      </w:tr>
      <w:tr>
        <w:trPr>
          <w:cantSplit w:val="true"/>
        </w:trPr>
        <w:tc>
          <w:tcPr>
            <w:tcW w:type="dxa" w:w="1474"/>
            <w:shd w:val="clear" w:color="auto" w:fill="F3EFE6"/>
          </w:tcPr>
          <w:p>
            <w:pPr>
              <w:spacing w:after="0" w:before="0"/>
            </w:pPr>
            <w:r/>
            <w:r>
              <w:rPr>
                <w:b w:val="0"/>
                <w:i w:val="0"/>
                <w:color w:val="1A1A1A"/>
                <w:sz w:val="17"/>
              </w:rPr>
              <w:t>EU-Lieferkettenrichtlinie (CSDDD) nach Omnibus I</w:t>
            </w:r>
          </w:p>
        </w:tc>
        <w:tc>
          <w:tcPr>
            <w:tcW w:type="dxa" w:w="2721"/>
            <w:shd w:val="clear" w:color="auto" w:fill="F3EFE6"/>
          </w:tcPr>
          <w:p>
            <w:pPr>
              <w:spacing w:after="0" w:before="0"/>
            </w:pPr>
            <w:r/>
            <w:r>
              <w:rPr>
                <w:b w:val="0"/>
                <w:i w:val="0"/>
                <w:color w:val="1A1A1A"/>
                <w:sz w:val="17"/>
              </w:rPr>
              <w:t>mehr als 5.000 Beschäftigte und 1,5 Mrd. Euro Umsatz; Umsetzung bis 26. Juli 2028, Anwendung ab Juli 2029</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gilt nicht</w:t>
            </w:r>
          </w:p>
        </w:tc>
      </w:tr>
      <w:tr>
        <w:trPr>
          <w:cantSplit w:val="true"/>
        </w:trPr>
        <w:tc>
          <w:tcPr>
            <w:tcW w:type="dxa" w:w="1474"/>
          </w:tcPr>
          <w:p>
            <w:pPr>
              <w:spacing w:after="0" w:before="0"/>
            </w:pPr>
            <w:r/>
            <w:r>
              <w:rPr>
                <w:b w:val="0"/>
                <w:i w:val="0"/>
                <w:color w:val="1A1A1A"/>
                <w:sz w:val="17"/>
              </w:rPr>
              <w:t>Nachhaltigkeitsbericht</w:t>
            </w:r>
          </w:p>
        </w:tc>
        <w:tc>
          <w:tcPr>
            <w:tcW w:type="dxa" w:w="2721"/>
          </w:tcPr>
          <w:p>
            <w:pPr>
              <w:spacing w:after="0" w:before="0"/>
            </w:pPr>
            <w:r/>
            <w:r>
              <w:rPr>
                <w:b w:val="0"/>
                <w:i w:val="0"/>
                <w:color w:val="1A1A1A"/>
                <w:sz w:val="17"/>
              </w:rPr>
              <w:t>CSRD künftig nur über 1.000 Beschäftigte und 450 Mio. Euro Nettoumsatz</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Art. 964a ff. OR für grosse Publikumsgesellschaften und beaufsichtigte Finanzunternehmen</w:t>
            </w:r>
          </w:p>
        </w:tc>
      </w:tr>
      <w:tr>
        <w:trPr>
          <w:cantSplit w:val="true"/>
        </w:trPr>
        <w:tc>
          <w:tcPr>
            <w:tcW w:type="dxa" w:w="1474"/>
            <w:shd w:val="clear" w:color="auto" w:fill="F3EFE6"/>
          </w:tcPr>
          <w:p>
            <w:pPr>
              <w:spacing w:after="0" w:before="0"/>
            </w:pPr>
            <w:r/>
            <w:r>
              <w:rPr>
                <w:b w:val="0"/>
                <w:i w:val="0"/>
                <w:color w:val="1A1A1A"/>
                <w:sz w:val="17"/>
              </w:rPr>
              <w:t>Umweltaussagen</w:t>
            </w:r>
          </w:p>
        </w:tc>
        <w:tc>
          <w:tcPr>
            <w:tcW w:type="dxa" w:w="2721"/>
            <w:shd w:val="clear" w:color="auto" w:fill="F3EFE6"/>
          </w:tcPr>
          <w:p>
            <w:pPr>
              <w:spacing w:after="0" w:before="0"/>
            </w:pPr>
            <w:r/>
            <w:r>
              <w:rPr>
                <w:b w:val="0"/>
                <w:i w:val="0"/>
                <w:color w:val="1A1A1A"/>
                <w:sz w:val="17"/>
              </w:rPr>
              <w:t>UWG ab 27. September 2026, gegenüber Verbrauchern</w:t>
            </w:r>
          </w:p>
        </w:tc>
        <w:tc>
          <w:tcPr>
            <w:tcW w:type="dxa" w:w="2721"/>
            <w:shd w:val="clear" w:color="auto" w:fill="F3EFE6"/>
          </w:tcPr>
          <w:p>
            <w:pPr>
              <w:spacing w:after="0" w:before="0"/>
            </w:pPr>
            <w:r/>
            <w:r>
              <w:rPr>
                <w:b w:val="0"/>
                <w:i w:val="0"/>
                <w:color w:val="1A1A1A"/>
                <w:sz w:val="17"/>
              </w:rPr>
              <w:t>UWG-Novelle, ab 27. September 2026, gegenüber Verbrauchern</w:t>
            </w:r>
          </w:p>
        </w:tc>
        <w:tc>
          <w:tcPr>
            <w:tcW w:type="dxa" w:w="2721"/>
            <w:shd w:val="clear" w:color="auto" w:fill="F3EFE6"/>
          </w:tcPr>
          <w:p>
            <w:pPr>
              <w:spacing w:after="0" w:before="0"/>
            </w:pPr>
            <w:r/>
            <w:r>
              <w:rPr>
                <w:b w:val="0"/>
                <w:i w:val="0"/>
                <w:color w:val="1A1A1A"/>
                <w:sz w:val="17"/>
              </w:rPr>
              <w:t>Art. 3 Abs. 1 lit. x UWG seit 1. Januar 2025</w:t>
            </w:r>
          </w:p>
        </w:tc>
      </w:tr>
      <w:tr>
        <w:trPr>
          <w:cantSplit w:val="true"/>
        </w:trPr>
        <w:tc>
          <w:tcPr>
            <w:tcW w:type="dxa" w:w="1474"/>
          </w:tcPr>
          <w:p>
            <w:pPr>
              <w:spacing w:after="0" w:before="0"/>
            </w:pPr>
            <w:r/>
            <w:r>
              <w:rPr>
                <w:b w:val="0"/>
                <w:i w:val="0"/>
                <w:color w:val="1A1A1A"/>
                <w:sz w:val="17"/>
              </w:rPr>
              <w:t>Wie die Frage ins Haus kommt</w:t>
            </w:r>
          </w:p>
        </w:tc>
        <w:tc>
          <w:tcPr>
            <w:tcW w:type="dxa" w:w="2721"/>
          </w:tcPr>
          <w:p>
            <w:pPr>
              <w:spacing w:after="0" w:before="0"/>
            </w:pPr>
            <w:r/>
            <w:r>
              <w:rPr>
                <w:b w:val="0"/>
                <w:i w:val="0"/>
                <w:color w:val="1A1A1A"/>
                <w:sz w:val="17"/>
              </w:rPr>
              <w:t>über verpflichtete Kunden</w:t>
            </w:r>
          </w:p>
        </w:tc>
        <w:tc>
          <w:tcPr>
            <w:tcW w:type="dxa" w:w="2721"/>
          </w:tcPr>
          <w:p>
            <w:pPr>
              <w:spacing w:after="0" w:before="0"/>
            </w:pPr>
            <w:r/>
            <w:r>
              <w:rPr>
                <w:b w:val="0"/>
                <w:i w:val="0"/>
                <w:color w:val="1A1A1A"/>
                <w:sz w:val="17"/>
              </w:rPr>
              <w:t>über verpflichtete Kunden</w:t>
            </w:r>
          </w:p>
        </w:tc>
        <w:tc>
          <w:tcPr>
            <w:tcW w:type="dxa" w:w="2721"/>
          </w:tcPr>
          <w:p>
            <w:pPr>
              <w:spacing w:after="0" w:before="0"/>
            </w:pPr>
            <w:r/>
            <w:r>
              <w:rPr>
                <w:b w:val="0"/>
                <w:i w:val="0"/>
                <w:color w:val="1A1A1A"/>
                <w:sz w:val="17"/>
              </w:rPr>
              <w:t>über verpflichtete Kunden</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1.3.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1.3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1.3 — Den Übergang zur Fassung 2024 entscheiden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