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1.4</w:t>
      </w:r>
    </w:p>
    <w:p>
      <w:pPr>
        <w:pStyle w:val="Heading1"/>
      </w:pPr>
      <w:r>
        <w:t>Den Wert im Veranstaltungsgeschäft sichtbar machen</w:t>
      </w:r>
    </w:p>
    <w:p>
      <w:pPr>
        <w:spacing w:after="0"/>
      </w:pPr>
      <w:r>
        <w:rPr>
          <w:b w:val="0"/>
          <w:i/>
          <w:color w:val="5A5A5A"/>
        </w:rPr>
        <w:t>Abschnitt 1.4 · Nachhaltigkeit und Wertschöpfung im Veranstaltungsgeschäft</w:t>
      </w:r>
    </w:p>
    <w:p>
      <w:pPr>
        <w:spacing w:after="160"/>
      </w:pPr>
      <w:r>
        <w:rPr>
          <w:b w:val="0"/>
          <w:i w:val="0"/>
          <w:color w:val="5A5A5A"/>
          <w:sz w:val="18"/>
        </w:rPr>
        <w:t>Modellfall im Buch: Freiburg im Breisgau</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größter Tagungskunde morgen wissen will, wie viel Speisen nach seiner letzten Jahrestagung übrig blieben: Liegt die Zahl in Ihrem Haus vor, oder müsste sie erst jemand schätzen? Und wüssten Sie, was Sie die Antwort kostet und was die fehlende Antwort?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Wege zum Wert und ihre Bedingung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Weg</w:t>
            </w:r>
          </w:p>
        </w:tc>
        <w:tc>
          <w:tcPr>
            <w:tcW w:type="dxa" w:w="3213"/>
            <w:shd w:val="clear" w:color="auto" w:fill="8C5A2B"/>
          </w:tcPr>
          <w:p>
            <w:pPr>
              <w:spacing w:after="0" w:before="0"/>
            </w:pPr>
            <w:r/>
            <w:r>
              <w:rPr>
                <w:b/>
                <w:i w:val="0"/>
                <w:color w:val="FFFFFF"/>
                <w:sz w:val="18"/>
              </w:rPr>
              <w:t>Woran er sich zeigt</w:t>
            </w:r>
          </w:p>
        </w:tc>
        <w:tc>
          <w:tcPr>
            <w:tcW w:type="dxa" w:w="3213"/>
            <w:shd w:val="clear" w:color="auto" w:fill="8C5A2B"/>
          </w:tcPr>
          <w:p>
            <w:pPr>
              <w:spacing w:after="0" w:before="0"/>
            </w:pPr>
            <w:r/>
            <w:r>
              <w:rPr>
                <w:b/>
                <w:i w:val="0"/>
                <w:color w:val="FFFFFF"/>
                <w:sz w:val="18"/>
              </w:rPr>
              <w:t>Bedingung im Haus</w:t>
            </w:r>
          </w:p>
        </w:tc>
      </w:tr>
      <w:tr>
        <w:trPr>
          <w:cantSplit w:val="true"/>
        </w:trPr>
        <w:tc>
          <w:tcPr>
            <w:tcW w:type="dxa" w:w="3213"/>
          </w:tcPr>
          <w:p>
            <w:pPr>
              <w:spacing w:after="0" w:before="0"/>
            </w:pPr>
            <w:r/>
            <w:r>
              <w:rPr>
                <w:b w:val="0"/>
                <w:i w:val="0"/>
                <w:color w:val="1A1A1A"/>
                <w:sz w:val="18"/>
              </w:rPr>
              <w:t>Gehaltener Kunde</w:t>
            </w:r>
          </w:p>
        </w:tc>
        <w:tc>
          <w:tcPr>
            <w:tcW w:type="dxa" w:w="3213"/>
          </w:tcPr>
          <w:p>
            <w:pPr>
              <w:spacing w:after="0" w:before="0"/>
            </w:pPr>
            <w:r/>
            <w:r>
              <w:rPr>
                <w:b w:val="0"/>
                <w:i w:val="0"/>
                <w:color w:val="1A1A1A"/>
                <w:sz w:val="18"/>
              </w:rPr>
              <w:t>Folgebuchung, Rahmenvertrag</w:t>
            </w:r>
          </w:p>
        </w:tc>
        <w:tc>
          <w:tcPr>
            <w:tcW w:type="dxa" w:w="3213"/>
          </w:tcPr>
          <w:p>
            <w:pPr>
              <w:spacing w:after="0" w:before="0"/>
            </w:pPr>
            <w:r/>
            <w:r>
              <w:rPr>
                <w:b w:val="0"/>
                <w:i w:val="0"/>
                <w:color w:val="1A1A1A"/>
                <w:sz w:val="18"/>
              </w:rPr>
              <w:t>Angaben je Veranstaltung, belegbar</w:t>
            </w:r>
          </w:p>
        </w:tc>
      </w:tr>
      <w:tr>
        <w:trPr>
          <w:cantSplit w:val="true"/>
        </w:trPr>
        <w:tc>
          <w:tcPr>
            <w:tcW w:type="dxa" w:w="3213"/>
            <w:shd w:val="clear" w:color="auto" w:fill="F3EFE6"/>
          </w:tcPr>
          <w:p>
            <w:pPr>
              <w:spacing w:after="0" w:before="0"/>
            </w:pPr>
            <w:r/>
            <w:r>
              <w:rPr>
                <w:b w:val="0"/>
                <w:i w:val="0"/>
                <w:color w:val="1A1A1A"/>
                <w:sz w:val="18"/>
              </w:rPr>
              <w:t>Vermiedene Kosten</w:t>
            </w:r>
          </w:p>
        </w:tc>
        <w:tc>
          <w:tcPr>
            <w:tcW w:type="dxa" w:w="3213"/>
            <w:shd w:val="clear" w:color="auto" w:fill="F3EFE6"/>
          </w:tcPr>
          <w:p>
            <w:pPr>
              <w:spacing w:after="0" w:before="0"/>
            </w:pPr>
            <w:r/>
            <w:r>
              <w:rPr>
                <w:b w:val="0"/>
                <w:i w:val="0"/>
                <w:color w:val="1A1A1A"/>
                <w:sz w:val="18"/>
              </w:rPr>
              <w:t>Wareneinsatz, Energie, Entsorgung</w:t>
            </w:r>
          </w:p>
        </w:tc>
        <w:tc>
          <w:tcPr>
            <w:tcW w:type="dxa" w:w="3213"/>
            <w:shd w:val="clear" w:color="auto" w:fill="F3EFE6"/>
          </w:tcPr>
          <w:p>
            <w:pPr>
              <w:spacing w:after="0" w:before="0"/>
            </w:pPr>
            <w:r/>
            <w:r>
              <w:rPr>
                <w:b w:val="0"/>
                <w:i w:val="0"/>
                <w:color w:val="1A1A1A"/>
                <w:sz w:val="18"/>
              </w:rPr>
              <w:t>Menge im Bankettauftrag geplant und nachgewogen</w:t>
            </w:r>
          </w:p>
        </w:tc>
      </w:tr>
      <w:tr>
        <w:trPr>
          <w:cantSplit w:val="true"/>
        </w:trPr>
        <w:tc>
          <w:tcPr>
            <w:tcW w:type="dxa" w:w="3213"/>
          </w:tcPr>
          <w:p>
            <w:pPr>
              <w:spacing w:after="0" w:before="0"/>
            </w:pPr>
            <w:r/>
            <w:r>
              <w:rPr>
                <w:b w:val="0"/>
                <w:i w:val="0"/>
                <w:color w:val="1A1A1A"/>
                <w:sz w:val="18"/>
              </w:rPr>
              <w:t>Zugang zu Ausschreibungen</w:t>
            </w:r>
          </w:p>
        </w:tc>
        <w:tc>
          <w:tcPr>
            <w:tcW w:type="dxa" w:w="3213"/>
          </w:tcPr>
          <w:p>
            <w:pPr>
              <w:spacing w:after="0" w:before="0"/>
            </w:pPr>
            <w:r/>
            <w:r>
              <w:rPr>
                <w:b w:val="0"/>
                <w:i w:val="0"/>
                <w:color w:val="1A1A1A"/>
                <w:sz w:val="18"/>
              </w:rPr>
              <w:t>Teilnahme, Zuschlag</w:t>
            </w:r>
          </w:p>
        </w:tc>
        <w:tc>
          <w:tcPr>
            <w:tcW w:type="dxa" w:w="3213"/>
          </w:tcPr>
          <w:p>
            <w:pPr>
              <w:spacing w:after="0" w:before="0"/>
            </w:pPr>
            <w:r/>
            <w:r>
              <w:rPr>
                <w:b w:val="0"/>
                <w:i w:val="0"/>
                <w:color w:val="1A1A1A"/>
                <w:sz w:val="18"/>
              </w:rPr>
              <w:t>Antwortfähigkeit binnen Frist</w:t>
            </w:r>
          </w:p>
        </w:tc>
      </w:tr>
      <w:tr>
        <w:trPr>
          <w:cantSplit w:val="true"/>
        </w:trPr>
        <w:tc>
          <w:tcPr>
            <w:tcW w:type="dxa" w:w="3213"/>
            <w:shd w:val="clear" w:color="auto" w:fill="F3EFE6"/>
          </w:tcPr>
          <w:p>
            <w:pPr>
              <w:spacing w:after="0" w:before="0"/>
            </w:pPr>
            <w:r/>
            <w:r>
              <w:rPr>
                <w:b w:val="0"/>
                <w:i w:val="0"/>
                <w:color w:val="1A1A1A"/>
                <w:sz w:val="18"/>
              </w:rPr>
              <w:t>Werteentscheidung</w:t>
            </w:r>
          </w:p>
        </w:tc>
        <w:tc>
          <w:tcPr>
            <w:tcW w:type="dxa" w:w="3213"/>
            <w:shd w:val="clear" w:color="auto" w:fill="F3EFE6"/>
          </w:tcPr>
          <w:p>
            <w:pPr>
              <w:spacing w:after="0" w:before="0"/>
            </w:pPr>
            <w:r/>
            <w:r>
              <w:rPr>
                <w:b w:val="0"/>
                <w:i w:val="0"/>
                <w:color w:val="1A1A1A"/>
                <w:sz w:val="18"/>
              </w:rPr>
              <w:t>Maßnahme ohne Rendite</w:t>
            </w:r>
          </w:p>
        </w:tc>
        <w:tc>
          <w:tcPr>
            <w:tcW w:type="dxa" w:w="3213"/>
            <w:shd w:val="clear" w:color="auto" w:fill="F3EFE6"/>
          </w:tcPr>
          <w:p>
            <w:pPr>
              <w:spacing w:after="0" w:before="0"/>
            </w:pPr>
            <w:r/>
            <w:r>
              <w:rPr>
                <w:b w:val="0"/>
                <w:i w:val="0"/>
                <w:color w:val="1A1A1A"/>
                <w:sz w:val="18"/>
              </w:rPr>
              <w:t>offen als solche benannt</w:t>
            </w:r>
          </w:p>
        </w:tc>
      </w:tr>
    </w:tbl>
    <w:p>
      <w:pPr>
        <w:spacing w:after="40"/>
      </w:pPr>
    </w:p>
    <w:p>
      <w:pPr>
        <w:pStyle w:val="Heading2"/>
      </w:pPr>
      <w:r>
        <w:t>Praktische Anwendung: den Wert im Veranstaltungsgeschäft in sieben Schritten sichtbar machen</w:t>
      </w:r>
    </w:p>
    <w:p>
      <w:pPr>
        <w:tabs>
          <w:tab w:pos="340" w:val="left"/>
        </w:tabs>
        <w:ind w:left="340" w:hanging="340"/>
      </w:pPr>
      <w:r>
        <w:rPr>
          <w:b/>
          <w:color w:val="8C5A2B"/>
        </w:rPr>
        <w:t>1.</w:t>
        <w:tab/>
      </w:r>
      <w:r>
        <w:rPr>
          <w:b/>
        </w:rPr>
        <w:t>Die Kundenfragen sammeln.</w:t>
      </w:r>
      <w:r>
        <w:t xml:space="preserve"> Alle Fragebögen, Ausschreibungen und Rückfragen der letzten zwei Jahre an einer Stelle zusammentragen. Welche Angaben kommen immer wieder?</w:t>
      </w:r>
    </w:p>
    <w:p>
      <w:pPr>
        <w:tabs>
          <w:tab w:pos="340" w:val="left"/>
        </w:tabs>
        <w:ind w:left="340" w:hanging="340"/>
      </w:pPr>
      <w:r>
        <w:rPr>
          <w:b/>
          <w:color w:val="8C5A2B"/>
        </w:rPr>
        <w:t>2.</w:t>
        <w:tab/>
      </w:r>
      <w:r>
        <w:rPr>
          <w:b/>
        </w:rPr>
        <w:t>Den Umsatz dahinter beziffern.</w:t>
      </w:r>
      <w:r>
        <w:t xml:space="preserve"> Zu jedem Kunden, der fragt, gehört der Jahresumsatz mit dem Haus. So wird sichtbar, was an den Antworten hängt.</w:t>
      </w:r>
    </w:p>
    <w:p>
      <w:pPr>
        <w:tabs>
          <w:tab w:pos="340" w:val="left"/>
        </w:tabs>
        <w:ind w:left="340" w:hanging="340"/>
      </w:pPr>
      <w:r>
        <w:rPr>
          <w:b/>
          <w:color w:val="8C5A2B"/>
        </w:rPr>
        <w:t>3.</w:t>
        <w:tab/>
      </w:r>
      <w:r>
        <w:rPr>
          <w:b/>
        </w:rPr>
        <w:t>Eine Veranstaltung durchrechnen.</w:t>
      </w:r>
      <w:r>
        <w:t xml:space="preserve"> Für die größte wiederkehrende Veranstaltung Wareneinsatz, Speisereste, Energie der Räume und Entsorgung einmal vollständig erfassen, auch wenn es Handarbeit ist.</w:t>
      </w:r>
    </w:p>
    <w:p>
      <w:pPr>
        <w:tabs>
          <w:tab w:pos="340" w:val="left"/>
        </w:tabs>
        <w:ind w:left="340" w:hanging="340"/>
      </w:pPr>
      <w:r>
        <w:rPr>
          <w:b/>
          <w:color w:val="8C5A2B"/>
        </w:rPr>
        <w:t>4.</w:t>
        <w:tab/>
      </w:r>
      <w:r>
        <w:rPr>
          <w:b/>
        </w:rPr>
        <w:t>Den Bankettauftrag erweitern.</w:t>
      </w:r>
      <w:r>
        <w:t xml:space="preserve"> Geplante Menge, ausgegebene Menge und Rücklauf gehören in den Auftrag, den die Küche ohnehin führt. Nachgewogen wird am Ende der Schicht.</w:t>
      </w:r>
    </w:p>
    <w:p>
      <w:pPr>
        <w:tabs>
          <w:tab w:pos="340" w:val="left"/>
        </w:tabs>
        <w:ind w:left="340" w:hanging="340"/>
      </w:pPr>
      <w:r>
        <w:rPr>
          <w:b/>
          <w:color w:val="8C5A2B"/>
        </w:rPr>
        <w:t>5.</w:t>
        <w:tab/>
      </w:r>
      <w:r>
        <w:rPr>
          <w:b/>
        </w:rPr>
        <w:t>Die Zuständigkeit für das Ganze festlegen.</w:t>
      </w:r>
      <w:r>
        <w:t xml:space="preserve"> Eine Person sieht jede Veranstaltung von Angebot bis Auswertung und liefert die Angaben an den Verkauf. Der Verkauf erfindet keine.</w:t>
      </w:r>
    </w:p>
    <w:p>
      <w:pPr>
        <w:tabs>
          <w:tab w:pos="340" w:val="left"/>
        </w:tabs>
        <w:ind w:left="340" w:hanging="340"/>
      </w:pPr>
      <w:r>
        <w:rPr>
          <w:b/>
          <w:color w:val="8C5A2B"/>
        </w:rPr>
        <w:t>6.</w:t>
        <w:tab/>
      </w:r>
      <w:r>
        <w:rPr>
          <w:b/>
        </w:rPr>
        <w:t>Ausschreibungen lesen, bevor man sie verwirft.</w:t>
      </w:r>
      <w:r>
        <w:t xml:space="preserve"> Welche Angaben haben gefehlt? Die Liste geht an die Leitung, mit dem Wert der Ausschreibung.</w:t>
      </w:r>
    </w:p>
    <w:p>
      <w:pPr>
        <w:tabs>
          <w:tab w:pos="340" w:val="left"/>
        </w:tabs>
        <w:ind w:left="340" w:hanging="340"/>
      </w:pPr>
      <w:r>
        <w:rPr>
          <w:b/>
          <w:color w:val="8C5A2B"/>
        </w:rPr>
        <w:t>7.</w:t>
        <w:tab/>
      </w:r>
      <w:r>
        <w:rPr>
          <w:b/>
        </w:rPr>
        <w:t>Die Werteentscheidung offen treffen.</w:t>
      </w:r>
      <w:r>
        <w:t xml:space="preserve"> Was sich nicht rechnet und trotzdem gewollt ist, beschließt die Eigentümerschaft als solche und schreibt es so in die Politik.</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Kundenfragen sammeln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Den Umsatz dahinter beziffern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Eine Veranstaltung durchrechnen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Bankettauftrag erweitern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Zuständigkeit für das Ganze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Ausschreibungen lesen, bevor man sie verwirft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Werteentscheidung offen treffen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Wissen wir, welche Kunden uns nach Nachhaltigkeitsangaben fragen, und welchen Umsatz sie bringen?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Können wir für unsere größte Veranstaltung die Speisereste in Kilogramm angeben?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die geplante und die verbrauchte Menge im Bankettauftrag?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eine Person für die Angaben je Veranstaltung zuständig?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wir, an welchen Ausschreibungen wir mangels Angaben nicht teilgenommen haben?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Antworten wir auf Fragebögen mit Zahlen oder mit Adjektiven?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die Eigentümerschaft ein Budget mit Namen für diese Arbeit freigegeben?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offen benannt, welche Maßnahmen wir aus Überzeugung und nicht aus Rendite treffen?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Nach der Rendite des Systems fragen statt nach dem Wissen des Hauses.</w:t>
      </w:r>
      <w:r>
        <w:t xml:space="preserve"> Dann wird ein Projekt bewertet, wo eine Arbeitsweise zu entscheiden ist.</w:t>
      </w:r>
    </w:p>
    <w:p>
      <w:pPr>
        <w:tabs>
          <w:tab w:pos="340" w:val="left"/>
        </w:tabs>
        <w:ind w:left="340" w:hanging="340"/>
      </w:pPr>
      <w:r>
        <w:rPr>
          <w:color w:val="8C5A2B"/>
        </w:rPr>
        <w:t>–</w:t>
        <w:tab/>
      </w:r>
      <w:r>
        <w:rPr>
          <w:b/>
        </w:rPr>
        <w:t>Den Fragebogen mit Adjektiven beantworten.</w:t>
      </w:r>
      <w:r>
        <w:t xml:space="preserve"> Der Kunde braucht Zahlen, und seit 27. September 2026 sind ungedeckte Umweltaussagen ein Rechtsrisiko.</w:t>
      </w:r>
    </w:p>
    <w:p>
      <w:pPr>
        <w:tabs>
          <w:tab w:pos="340" w:val="left"/>
        </w:tabs>
        <w:ind w:left="340" w:hanging="340"/>
      </w:pPr>
      <w:r>
        <w:rPr>
          <w:color w:val="8C5A2B"/>
        </w:rPr>
        <w:t>–</w:t>
        <w:tab/>
      </w:r>
      <w:r>
        <w:rPr>
          <w:b/>
        </w:rPr>
        <w:t>Ein Formblatt neben den Betrieb stellen.</w:t>
      </w:r>
      <w:r>
        <w:t xml:space="preserve"> Es trägt bis zur ersten Nachfrage.</w:t>
      </w:r>
    </w:p>
    <w:p>
      <w:pPr>
        <w:tabs>
          <w:tab w:pos="340" w:val="left"/>
        </w:tabs>
        <w:ind w:left="340" w:hanging="340"/>
      </w:pPr>
      <w:r>
        <w:rPr>
          <w:color w:val="8C5A2B"/>
        </w:rPr>
        <w:t>–</w:t>
        <w:tab/>
      </w:r>
      <w:r>
        <w:rPr>
          <w:b/>
        </w:rPr>
        <w:t>Nur den Kunden als Wertquelle sehen.</w:t>
      </w:r>
      <w:r>
        <w:t xml:space="preserve"> Wareneinsatz und Energie sind Kosten, die das Haus allein senken kann.</w:t>
      </w:r>
    </w:p>
    <w:p>
      <w:pPr>
        <w:tabs>
          <w:tab w:pos="340" w:val="left"/>
        </w:tabs>
        <w:ind w:left="340" w:hanging="340"/>
      </w:pPr>
      <w:r>
        <w:rPr>
          <w:color w:val="8C5A2B"/>
        </w:rPr>
        <w:t>–</w:t>
        <w:tab/>
      </w:r>
      <w:r>
        <w:rPr>
          <w:b/>
        </w:rPr>
        <w:t>Ausschreibungen ungelesen ablegen.</w:t>
      </w:r>
      <w:r>
        <w:t xml:space="preserve"> Das Haus erfährt nie, was es verpasst.</w:t>
      </w:r>
    </w:p>
    <w:p>
      <w:pPr>
        <w:tabs>
          <w:tab w:pos="340" w:val="left"/>
        </w:tabs>
        <w:ind w:left="340" w:hanging="340"/>
      </w:pPr>
      <w:r>
        <w:rPr>
          <w:color w:val="8C5A2B"/>
        </w:rPr>
        <w:t>–</w:t>
        <w:tab/>
      </w:r>
      <w:r>
        <w:rPr>
          <w:b/>
        </w:rPr>
        <w:t>Werteentscheidungen als Rentabilität ausgeben.</w:t>
      </w:r>
      <w:r>
        <w:t xml:space="preserve"> Wer eine Rechnung schönt, verliert die Glaubwürdigkeit für die nächste.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der Jahrestagung</w:t>
            </w:r>
          </w:p>
        </w:tc>
        <w:tc>
          <w:tcPr>
            <w:tcW w:type="dxa" w:w="1474"/>
          </w:tcPr>
          <w:p>
            <w:pPr>
              <w:spacing w:after="0" w:before="0"/>
            </w:pPr>
            <w:r/>
            <w:r>
              <w:rPr>
                <w:b w:val="0"/>
                <w:i w:val="0"/>
                <w:color w:val="1A1A1A"/>
                <w:sz w:val="18"/>
              </w:rPr>
              <w:t>€ 310.000</w:t>
            </w:r>
          </w:p>
        </w:tc>
        <w:tc>
          <w:tcPr>
            <w:tcW w:type="dxa" w:w="3175"/>
          </w:tcPr>
          <w:p>
            <w:pPr>
              <w:spacing w:after="0" w:before="0"/>
            </w:pPr>
            <w:r/>
            <w:r>
              <w:rPr>
                <w:b w:val="0"/>
                <w:i w:val="0"/>
                <w:color w:val="1A1A1A"/>
                <w:sz w:val="18"/>
              </w:rPr>
              <w:t>jährlich; Logis, Bankett, Technik</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Wareneinsatz Bankett</w:t>
            </w:r>
          </w:p>
        </w:tc>
        <w:tc>
          <w:tcPr>
            <w:tcW w:type="dxa" w:w="1474"/>
            <w:shd w:val="clear" w:color="auto" w:fill="F3EFE6"/>
          </w:tcPr>
          <w:p>
            <w:pPr>
              <w:spacing w:after="0" w:before="0"/>
            </w:pPr>
            <w:r/>
            <w:r>
              <w:rPr>
                <w:b w:val="0"/>
                <w:i w:val="0"/>
                <w:color w:val="1A1A1A"/>
                <w:sz w:val="18"/>
              </w:rPr>
              <w:t>€ 900.000</w:t>
            </w:r>
          </w:p>
        </w:tc>
        <w:tc>
          <w:tcPr>
            <w:tcW w:type="dxa" w:w="3175"/>
            <w:shd w:val="clear" w:color="auto" w:fill="F3EFE6"/>
          </w:tcPr>
          <w:p>
            <w:pPr>
              <w:spacing w:after="0" w:before="0"/>
            </w:pPr>
            <w:r/>
            <w:r>
              <w:rPr>
                <w:b w:val="0"/>
                <w:i w:val="0"/>
                <w:color w:val="1A1A1A"/>
                <w:sz w:val="18"/>
              </w:rPr>
              <w:t>jährlich, gesamtes Haus</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Angenommene Überproduktion am Buffet, 8 % davon</w:t>
            </w:r>
          </w:p>
        </w:tc>
        <w:tc>
          <w:tcPr>
            <w:tcW w:type="dxa" w:w="1474"/>
          </w:tcPr>
          <w:p>
            <w:pPr>
              <w:spacing w:after="0" w:before="0"/>
            </w:pPr>
            <w:r/>
            <w:r>
              <w:rPr>
                <w:b w:val="0"/>
                <w:i w:val="0"/>
                <w:color w:val="1A1A1A"/>
                <w:sz w:val="18"/>
              </w:rPr>
              <w:t>€ 72.000</w:t>
            </w:r>
          </w:p>
        </w:tc>
        <w:tc>
          <w:tcPr>
            <w:tcW w:type="dxa" w:w="3175"/>
          </w:tcPr>
          <w:p>
            <w:pPr>
              <w:spacing w:after="0" w:before="0"/>
            </w:pPr>
            <w:r/>
            <w:r>
              <w:rPr>
                <w:b w:val="0"/>
                <w:i w:val="0"/>
                <w:color w:val="1A1A1A"/>
                <w:sz w:val="18"/>
              </w:rPr>
              <w:t>jährlich; erst nach Messung belastbar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Ziel: ein Viertel dieser Überproduktion vermeiden</w:t>
            </w:r>
          </w:p>
        </w:tc>
        <w:tc>
          <w:tcPr>
            <w:tcW w:type="dxa" w:w="1474"/>
            <w:shd w:val="clear" w:color="auto" w:fill="F3EFE6"/>
          </w:tcPr>
          <w:p>
            <w:pPr>
              <w:spacing w:after="0" w:before="0"/>
            </w:pPr>
            <w:r/>
            <w:r>
              <w:rPr>
                <w:b w:val="0"/>
                <w:i w:val="0"/>
                <w:color w:val="1A1A1A"/>
                <w:sz w:val="18"/>
              </w:rPr>
              <w:t>€ 18.000</w:t>
            </w:r>
          </w:p>
        </w:tc>
        <w:tc>
          <w:tcPr>
            <w:tcW w:type="dxa" w:w="3175"/>
            <w:shd w:val="clear" w:color="auto" w:fill="F3EFE6"/>
          </w:tcPr>
          <w:p>
            <w:pPr>
              <w:spacing w:after="0" w:before="0"/>
            </w:pPr>
            <w:r/>
            <w:r>
              <w:rPr>
                <w:b w:val="0"/>
                <w:i w:val="0"/>
                <w:color w:val="1A1A1A"/>
                <w:sz w:val="18"/>
              </w:rPr>
              <w:t>jährlich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Erfassung einer Veranstaltung vollständig</w:t>
            </w:r>
          </w:p>
        </w:tc>
        <w:tc>
          <w:tcPr>
            <w:tcW w:type="dxa" w:w="1474"/>
          </w:tcPr>
          <w:p>
            <w:pPr>
              <w:spacing w:after="0" w:before="0"/>
            </w:pPr>
            <w:r/>
            <w:r>
              <w:rPr>
                <w:b w:val="0"/>
                <w:i w:val="0"/>
                <w:color w:val="1A1A1A"/>
                <w:sz w:val="18"/>
              </w:rPr>
              <w:t>40 Stunden</w:t>
            </w:r>
          </w:p>
        </w:tc>
        <w:tc>
          <w:tcPr>
            <w:tcW w:type="dxa" w:w="3175"/>
          </w:tcPr>
          <w:p>
            <w:pPr>
              <w:spacing w:after="0" w:before="0"/>
            </w:pPr>
            <w:r/>
            <w:r>
              <w:rPr>
                <w:b w:val="0"/>
                <w:i w:val="0"/>
                <w:color w:val="1A1A1A"/>
                <w:sz w:val="18"/>
              </w:rPr>
              <w:t>einmalig, Controller und Küche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Nachwiegen im Bankettauftrag</w:t>
            </w:r>
          </w:p>
        </w:tc>
        <w:tc>
          <w:tcPr>
            <w:tcW w:type="dxa" w:w="1474"/>
            <w:shd w:val="clear" w:color="auto" w:fill="F3EFE6"/>
          </w:tcPr>
          <w:p>
            <w:pPr>
              <w:spacing w:after="0" w:before="0"/>
            </w:pPr>
            <w:r/>
            <w:r>
              <w:rPr>
                <w:b w:val="0"/>
                <w:i w:val="0"/>
                <w:color w:val="1A1A1A"/>
                <w:sz w:val="18"/>
              </w:rPr>
              <w:t>120 Stunden</w:t>
            </w:r>
          </w:p>
        </w:tc>
        <w:tc>
          <w:tcPr>
            <w:tcW w:type="dxa" w:w="3175"/>
            <w:shd w:val="clear" w:color="auto" w:fill="F3EFE6"/>
          </w:tcPr>
          <w:p>
            <w:pPr>
              <w:spacing w:after="0" w:before="0"/>
            </w:pPr>
            <w:r/>
            <w:r>
              <w:rPr>
                <w:b w:val="0"/>
                <w:i w:val="0"/>
                <w:color w:val="1A1A1A"/>
                <w:sz w:val="18"/>
              </w:rPr>
              <w:t>jährlich, verteilt auf die Küche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Waage, Behälter, Anpassung der Bankettsoftware</w:t>
            </w:r>
          </w:p>
        </w:tc>
        <w:tc>
          <w:tcPr>
            <w:tcW w:type="dxa" w:w="1474"/>
          </w:tcPr>
          <w:p>
            <w:pPr>
              <w:spacing w:after="0" w:before="0"/>
            </w:pPr>
            <w:r/>
            <w:r>
              <w:rPr>
                <w:b w:val="0"/>
                <w:i w:val="0"/>
                <w:color w:val="1A1A1A"/>
                <w:sz w:val="18"/>
              </w:rPr>
              <w:t>€ 6.500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bl>
    <w:p>
      <w:pPr>
        <w:spacing w:after="40"/>
      </w:pPr>
    </w:p>
    <w:p>
      <w:r>
        <w:rPr>
          <w:b w:val="0"/>
          <w:i w:val="0"/>
        </w:rPr>
        <w:t>Die Rechnung zeigt das Verhältnis der Posten, nicht ihre Höhe. Die acht Prozent sind eine Annahme, bis das Haus selbst gewogen hat. Die erste Zeile ist Umsatz, kein Gewinn und keine Rendite; die achtzehntausend Euro sind vermiedener Wareneinsatz, kein zusätzlicher Erlös. Belastbar ist nur die erste Zeile: Sie steht in der Buchhaltung, und sie hängt an Zeile einundzwanzig des Fragebogens.</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Themen bestimmen, einschließlich wirtschaftlicher Auswirkungen (4.1)</w:t>
            </w:r>
          </w:p>
        </w:tc>
        <w:tc>
          <w:tcPr>
            <w:tcW w:type="dxa" w:w="3175"/>
          </w:tcPr>
          <w:p>
            <w:pPr>
              <w:spacing w:after="0" w:before="0"/>
            </w:pPr>
            <w:r/>
            <w:r>
              <w:rPr>
                <w:b w:val="0"/>
                <w:i w:val="0"/>
                <w:color w:val="1A1A1A"/>
                <w:sz w:val="18"/>
              </w:rPr>
              <w:t>Kontextpapier mit Kunden, Kosten, Markt</w:t>
            </w:r>
          </w:p>
        </w:tc>
        <w:tc>
          <w:tcPr>
            <w:tcW w:type="dxa" w:w="3175"/>
          </w:tcPr>
          <w:p>
            <w:pPr>
              <w:spacing w:after="0" w:before="0"/>
            </w:pPr>
            <w:r/>
            <w:r>
              <w:rPr>
                <w:b w:val="0"/>
                <w:i w:val="0"/>
                <w:color w:val="1A1A1A"/>
                <w:sz w:val="18"/>
              </w:rPr>
              <w:t>SWOT oder PESTEL (Anmerkung 2 zu 4.1)</w:t>
            </w:r>
          </w:p>
        </w:tc>
      </w:tr>
      <w:tr>
        <w:trPr>
          <w:cantSplit w:val="true"/>
        </w:trPr>
        <w:tc>
          <w:tcPr>
            <w:tcW w:type="dxa" w:w="3288"/>
            <w:shd w:val="clear" w:color="auto" w:fill="F3EFE6"/>
          </w:tcPr>
          <w:p>
            <w:pPr>
              <w:spacing w:after="0" w:before="0"/>
            </w:pPr>
            <w:r/>
            <w:r>
              <w:rPr>
                <w:b w:val="0"/>
                <w:i w:val="0"/>
                <w:color w:val="1A1A1A"/>
                <w:sz w:val="18"/>
              </w:rPr>
              <w:t>Klimawandel als Thema prüfen (4.1)</w:t>
            </w:r>
          </w:p>
        </w:tc>
        <w:tc>
          <w:tcPr>
            <w:tcW w:type="dxa" w:w="3175"/>
            <w:shd w:val="clear" w:color="auto" w:fill="F3EFE6"/>
          </w:tcPr>
          <w:p>
            <w:pPr>
              <w:spacing w:after="0" w:before="0"/>
            </w:pPr>
            <w:r/>
            <w:r>
              <w:rPr>
                <w:b w:val="0"/>
                <w:i w:val="0"/>
                <w:color w:val="1A1A1A"/>
                <w:sz w:val="18"/>
              </w:rPr>
              <w:t>Vermerk mit Begründung</w:t>
            </w:r>
          </w:p>
        </w:tc>
        <w:tc>
          <w:tcPr>
            <w:tcW w:type="dxa" w:w="3175"/>
            <w:shd w:val="clear" w:color="auto" w:fill="F3EFE6"/>
          </w:tcPr>
          <w:p>
            <w:pPr>
              <w:spacing w:after="0" w:before="0"/>
            </w:pPr>
            <w:r/>
            <w:r>
              <w:rPr>
                <w:b w:val="0"/>
                <w:i w:val="0"/>
                <w:color w:val="1A1A1A"/>
                <w:sz w:val="18"/>
              </w:rPr>
              <w:t>keine</w:t>
            </w:r>
          </w:p>
        </w:tc>
      </w:tr>
      <w:tr>
        <w:trPr>
          <w:cantSplit w:val="true"/>
        </w:trPr>
        <w:tc>
          <w:tcPr>
            <w:tcW w:type="dxa" w:w="3288"/>
          </w:tcPr>
          <w:p>
            <w:pPr>
              <w:spacing w:after="0" w:before="0"/>
            </w:pPr>
            <w:r/>
            <w:r>
              <w:rPr>
                <w:b w:val="0"/>
                <w:i w:val="0"/>
                <w:color w:val="1A1A1A"/>
                <w:sz w:val="18"/>
              </w:rPr>
              <w:t>Anforderungen in Geschäftsprozesse einbinden (5.1 b)</w:t>
            </w:r>
          </w:p>
        </w:tc>
        <w:tc>
          <w:tcPr>
            <w:tcW w:type="dxa" w:w="3175"/>
          </w:tcPr>
          <w:p>
            <w:pPr>
              <w:spacing w:after="0" w:before="0"/>
            </w:pPr>
            <w:r/>
            <w:r>
              <w:rPr>
                <w:b w:val="0"/>
                <w:i w:val="0"/>
                <w:color w:val="1A1A1A"/>
                <w:sz w:val="18"/>
              </w:rPr>
              <w:t>Angebotsvorlage, Bankettauftrag, Bestellung der Küche</w:t>
            </w:r>
          </w:p>
        </w:tc>
        <w:tc>
          <w:tcPr>
            <w:tcW w:type="dxa" w:w="3175"/>
          </w:tcPr>
          <w:p>
            <w:pPr>
              <w:spacing w:after="0" w:before="0"/>
            </w:pPr>
            <w:r/>
            <w:r>
              <w:rPr>
                <w:b w:val="0"/>
                <w:i w:val="0"/>
                <w:color w:val="1A1A1A"/>
                <w:sz w:val="18"/>
              </w:rPr>
              <w:t>Methode: Mengen im Auftrag nachwiegen</w:t>
            </w:r>
          </w:p>
        </w:tc>
      </w:tr>
      <w:tr>
        <w:trPr>
          <w:cantSplit w:val="true"/>
        </w:trPr>
        <w:tc>
          <w:tcPr>
            <w:tcW w:type="dxa" w:w="3288"/>
            <w:shd w:val="clear" w:color="auto" w:fill="F3EFE6"/>
          </w:tcPr>
          <w:p>
            <w:pPr>
              <w:spacing w:after="0" w:before="0"/>
            </w:pPr>
            <w:r/>
            <w:r>
              <w:rPr>
                <w:b w:val="0"/>
                <w:i w:val="0"/>
                <w:color w:val="1A1A1A"/>
                <w:sz w:val="18"/>
              </w:rPr>
              <w:t>Ressourcen bereitstellen (5.1 c)</w:t>
            </w:r>
          </w:p>
        </w:tc>
        <w:tc>
          <w:tcPr>
            <w:tcW w:type="dxa" w:w="3175"/>
            <w:shd w:val="clear" w:color="auto" w:fill="F3EFE6"/>
          </w:tcPr>
          <w:p>
            <w:pPr>
              <w:spacing w:after="0" w:before="0"/>
            </w:pPr>
            <w:r/>
            <w:r>
              <w:rPr>
                <w:b w:val="0"/>
                <w:i w:val="0"/>
                <w:color w:val="1A1A1A"/>
                <w:sz w:val="18"/>
              </w:rPr>
              <w:t>Budgetposten mit Namen</w:t>
            </w:r>
          </w:p>
        </w:tc>
        <w:tc>
          <w:tcPr>
            <w:tcW w:type="dxa" w:w="3175"/>
            <w:shd w:val="clear" w:color="auto" w:fill="F3EFE6"/>
          </w:tcPr>
          <w:p>
            <w:pPr>
              <w:spacing w:after="0" w:before="0"/>
            </w:pPr>
            <w:r/>
            <w:r>
              <w:rPr>
                <w:b w:val="0"/>
                <w:i w:val="0"/>
                <w:color w:val="1A1A1A"/>
                <w:sz w:val="18"/>
              </w:rPr>
              <w:t>Kosten-Nutzen, Liquidität, Ruf (A.13 c)</w:t>
            </w:r>
          </w:p>
        </w:tc>
      </w:tr>
      <w:tr>
        <w:trPr>
          <w:cantSplit w:val="true"/>
        </w:trPr>
        <w:tc>
          <w:tcPr>
            <w:tcW w:type="dxa" w:w="3288"/>
          </w:tcPr>
          <w:p>
            <w:pPr>
              <w:spacing w:after="0" w:before="0"/>
            </w:pPr>
            <w:r/>
            <w:r>
              <w:rPr>
                <w:b w:val="0"/>
                <w:i w:val="0"/>
                <w:color w:val="1A1A1A"/>
                <w:sz w:val="18"/>
              </w:rPr>
              <w:t>Verpflichtung zu Bewertung und Bericht (5.2 e)</w:t>
            </w:r>
          </w:p>
        </w:tc>
        <w:tc>
          <w:tcPr>
            <w:tcW w:type="dxa" w:w="3175"/>
          </w:tcPr>
          <w:p>
            <w:pPr>
              <w:spacing w:after="0" w:before="0"/>
            </w:pPr>
            <w:r/>
            <w:r>
              <w:rPr>
                <w:b w:val="0"/>
                <w:i w:val="0"/>
                <w:color w:val="1A1A1A"/>
                <w:sz w:val="18"/>
              </w:rPr>
              <w:t>Satz in der Politik; Auswertung je Veranstaltung</w:t>
            </w:r>
          </w:p>
        </w:tc>
        <w:tc>
          <w:tcPr>
            <w:tcW w:type="dxa" w:w="3175"/>
          </w:tcPr>
          <w:p>
            <w:pPr>
              <w:spacing w:after="0" w:before="0"/>
            </w:pPr>
            <w:r/>
            <w:r>
              <w:rPr>
                <w:b w:val="0"/>
                <w:i w:val="0"/>
                <w:color w:val="1A1A1A"/>
                <w:sz w:val="18"/>
              </w:rPr>
              <w:t>Inhalt eines Berichts (C.3)</w:t>
            </w:r>
          </w:p>
        </w:tc>
      </w:tr>
    </w:tbl>
    <w:p>
      <w:pPr>
        <w:spacing w:after="40"/>
      </w:pPr>
    </w:p>
    <w:p>
      <w:pPr>
        <w:pStyle w:val="Heading2"/>
      </w:pPr>
      <w:r>
        <w:t>DACH-Anker: woher die Fragen des Kunden kommen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Berichtspflicht großer Kunden</w:t>
            </w:r>
          </w:p>
        </w:tc>
        <w:tc>
          <w:tcPr>
            <w:tcW w:type="dxa" w:w="2721"/>
          </w:tcPr>
          <w:p>
            <w:pPr>
              <w:spacing w:after="0" w:before="0"/>
            </w:pPr>
            <w:r/>
            <w:r>
              <w:rPr>
                <w:b w:val="0"/>
                <w:i w:val="0"/>
                <w:color w:val="1A1A1A"/>
                <w:sz w:val="17"/>
              </w:rPr>
              <w:t>CSRD nach Omnibus I: künftig über 1.000 Beschäftigte und über 450 Mio. € Umsatz; Umsetzung in nationales Recht bis 19. März 2027</w:t>
            </w:r>
          </w:p>
        </w:tc>
        <w:tc>
          <w:tcPr>
            <w:tcW w:type="dxa" w:w="2721"/>
          </w:tcPr>
          <w:p>
            <w:pPr>
              <w:spacing w:after="0" w:before="0"/>
            </w:pPr>
            <w:r/>
            <w:r>
              <w:rPr>
                <w:b w:val="0"/>
                <w:i w:val="0"/>
                <w:color w:val="1A1A1A"/>
                <w:sz w:val="17"/>
              </w:rPr>
              <w:t>wie Deutschland</w:t>
            </w:r>
          </w:p>
        </w:tc>
        <w:tc>
          <w:tcPr>
            <w:tcW w:type="dxa" w:w="2721"/>
          </w:tcPr>
          <w:p>
            <w:pPr>
              <w:spacing w:after="0" w:before="0"/>
            </w:pPr>
            <w:r/>
            <w:r>
              <w:rPr>
                <w:b w:val="0"/>
                <w:i w:val="0"/>
                <w:color w:val="1A1A1A"/>
                <w:sz w:val="17"/>
              </w:rPr>
              <w:t>Art. 964a ff. OR: große Publikumsgesellschaften und beaufsichtigte Finanzunternehmen</w:t>
            </w:r>
          </w:p>
        </w:tc>
      </w:tr>
      <w:tr>
        <w:trPr>
          <w:cantSplit w:val="true"/>
        </w:trPr>
        <w:tc>
          <w:tcPr>
            <w:tcW w:type="dxa" w:w="1474"/>
            <w:shd w:val="clear" w:color="auto" w:fill="F3EFE6"/>
          </w:tcPr>
          <w:p>
            <w:pPr>
              <w:spacing w:after="0" w:before="0"/>
            </w:pPr>
            <w:r/>
            <w:r>
              <w:rPr>
                <w:b w:val="0"/>
                <w:i w:val="0"/>
                <w:color w:val="1A1A1A"/>
                <w:sz w:val="17"/>
              </w:rPr>
              <w:t>Sorgfalt in der Lieferkette</w:t>
            </w:r>
          </w:p>
        </w:tc>
        <w:tc>
          <w:tcPr>
            <w:tcW w:type="dxa" w:w="2721"/>
            <w:shd w:val="clear" w:color="auto" w:fill="F3EFE6"/>
          </w:tcPr>
          <w:p>
            <w:pPr>
              <w:spacing w:after="0" w:before="0"/>
            </w:pPr>
            <w:r/>
            <w:r>
              <w:rPr>
                <w:b w:val="0"/>
                <w:i w:val="0"/>
                <w:color w:val="1A1A1A"/>
                <w:sz w:val="17"/>
              </w:rPr>
              <w:t>LkSG ab 1.000 Beschäftigten im Inland; CSDDD bis 26. Juli 2028 umzusetzen, Anwendung auf Unternehmen ab Juli 2029</w:t>
            </w:r>
          </w:p>
        </w:tc>
        <w:tc>
          <w:tcPr>
            <w:tcW w:type="dxa" w:w="2721"/>
            <w:shd w:val="clear" w:color="auto" w:fill="F3EFE6"/>
          </w:tcPr>
          <w:p>
            <w:pPr>
              <w:spacing w:after="0" w:before="0"/>
            </w:pPr>
            <w:r/>
            <w:r>
              <w:rPr>
                <w:b w:val="0"/>
                <w:i w:val="0"/>
                <w:color w:val="1A1A1A"/>
                <w:sz w:val="17"/>
              </w:rPr>
              <w:t>CSDDD bis 26. Juli 2028 umzusetzen, Anwendung auf Unternehmen ab Juli 2029</w:t>
            </w:r>
          </w:p>
        </w:tc>
        <w:tc>
          <w:tcPr>
            <w:tcW w:type="dxa" w:w="2721"/>
            <w:shd w:val="clear" w:color="auto" w:fill="F3EFE6"/>
          </w:tcPr>
          <w:p>
            <w:pPr>
              <w:spacing w:after="0" w:before="0"/>
            </w:pPr>
            <w:r/>
            <w:r>
              <w:rPr>
                <w:b w:val="0"/>
                <w:i w:val="0"/>
                <w:color w:val="1A1A1A"/>
                <w:sz w:val="17"/>
              </w:rPr>
              <w:t>Unionsrecht gilt nicht; eigene Sorgfaltspflichten zu Konfliktmineralien und Kinderarbeit (Art. 964j ff. OR, VSoTr)</w:t>
            </w:r>
          </w:p>
        </w:tc>
      </w:tr>
      <w:tr>
        <w:trPr>
          <w:cantSplit w:val="true"/>
        </w:trPr>
        <w:tc>
          <w:tcPr>
            <w:tcW w:type="dxa" w:w="1474"/>
          </w:tcPr>
          <w:p>
            <w:pPr>
              <w:spacing w:after="0" w:before="0"/>
            </w:pPr>
            <w:r/>
            <w:r>
              <w:rPr>
                <w:b w:val="0"/>
                <w:i w:val="0"/>
                <w:color w:val="1A1A1A"/>
                <w:sz w:val="17"/>
              </w:rPr>
              <w:t>Umweltaussagen im Angebot</w:t>
            </w:r>
          </w:p>
        </w:tc>
        <w:tc>
          <w:tcPr>
            <w:tcW w:type="dxa" w:w="2721"/>
          </w:tcPr>
          <w:p>
            <w:pPr>
              <w:spacing w:after="0" w:before="0"/>
            </w:pPr>
            <w:r/>
            <w:r>
              <w:rPr>
                <w:b w:val="0"/>
                <w:i w:val="0"/>
                <w:color w:val="1A1A1A"/>
                <w:sz w:val="17"/>
              </w:rPr>
              <w:t>UWG, neue Regeln gegenüber Verbrauchern ab 27. September 2026</w:t>
            </w:r>
          </w:p>
        </w:tc>
        <w:tc>
          <w:tcPr>
            <w:tcW w:type="dxa" w:w="2721"/>
          </w:tcPr>
          <w:p>
            <w:pPr>
              <w:spacing w:after="0" w:before="0"/>
            </w:pPr>
            <w:r/>
            <w:r>
              <w:rPr>
                <w:b w:val="0"/>
                <w:i w:val="0"/>
                <w:color w:val="1A1A1A"/>
                <w:sz w:val="17"/>
              </w:rPr>
              <w:t>UWG-Novelle BGBl. I Nr. 58/2026, gegenüber Verbrauchern ab 27. September 2026</w:t>
            </w:r>
          </w:p>
        </w:tc>
        <w:tc>
          <w:tcPr>
            <w:tcW w:type="dxa" w:w="2721"/>
          </w:tcPr>
          <w:p>
            <w:pPr>
              <w:spacing w:after="0" w:before="0"/>
            </w:pPr>
            <w:r/>
            <w:r>
              <w:rPr>
                <w:b w:val="0"/>
                <w:i w:val="0"/>
                <w:color w:val="1A1A1A"/>
                <w:sz w:val="17"/>
              </w:rPr>
              <w:t>Art. 3 Abs. 1 lit. x UWG seit 1. Januar 2025</w:t>
            </w:r>
          </w:p>
        </w:tc>
      </w:tr>
      <w:tr>
        <w:trPr>
          <w:cantSplit w:val="true"/>
        </w:trPr>
        <w:tc>
          <w:tcPr>
            <w:tcW w:type="dxa" w:w="1474"/>
            <w:shd w:val="clear" w:color="auto" w:fill="F3EFE6"/>
          </w:tcPr>
          <w:p>
            <w:pPr>
              <w:spacing w:after="0" w:before="0"/>
            </w:pPr>
            <w:r/>
            <w:r>
              <w:rPr>
                <w:b w:val="0"/>
                <w:i w:val="0"/>
                <w:color w:val="1A1A1A"/>
                <w:sz w:val="17"/>
              </w:rPr>
              <w:t>Barrierefreie Online-Buchung</w:t>
            </w:r>
          </w:p>
        </w:tc>
        <w:tc>
          <w:tcPr>
            <w:tcW w:type="dxa" w:w="2721"/>
            <w:shd w:val="clear" w:color="auto" w:fill="F3EFE6"/>
          </w:tcPr>
          <w:p>
            <w:pPr>
              <w:spacing w:after="0" w:before="0"/>
            </w:pPr>
            <w:r/>
            <w:r>
              <w:rPr>
                <w:b w:val="0"/>
                <w:i w:val="0"/>
                <w:color w:val="1A1A1A"/>
                <w:sz w:val="17"/>
              </w:rPr>
              <w:t>BFSG seit 28. Juni 2025; Kleinstunternehmen ausgenommen</w:t>
            </w:r>
          </w:p>
        </w:tc>
        <w:tc>
          <w:tcPr>
            <w:tcW w:type="dxa" w:w="2721"/>
            <w:shd w:val="clear" w:color="auto" w:fill="F3EFE6"/>
          </w:tcPr>
          <w:p>
            <w:pPr>
              <w:spacing w:after="0" w:before="0"/>
            </w:pPr>
            <w:r/>
            <w:r>
              <w:rPr>
                <w:b w:val="0"/>
                <w:i w:val="0"/>
                <w:color w:val="1A1A1A"/>
                <w:sz w:val="17"/>
              </w:rPr>
              <w:t>BaFG seit 28. Juni 2025; Hotelbuchung ausdrücklich erfasst</w:t>
            </w:r>
          </w:p>
        </w:tc>
        <w:tc>
          <w:tcPr>
            <w:tcW w:type="dxa" w:w="2721"/>
            <w:shd w:val="clear" w:color="auto" w:fill="F3EFE6"/>
          </w:tcPr>
          <w:p>
            <w:pPr>
              <w:spacing w:after="0" w:before="0"/>
            </w:pPr>
            <w:r/>
            <w:r>
              <w:rPr>
                <w:b w:val="0"/>
                <w:i w:val="0"/>
                <w:color w:val="1A1A1A"/>
                <w:sz w:val="17"/>
              </w:rPr>
              <w:t>Unionsrecht gilt nicht</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1.4 — Den Wert im Veranstaltungsgeschäft sichtbar machen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