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8C5A2B"/>
          <w:sz w:val="18"/>
        </w:rPr>
        <w:t>ARBEITSMATERIAL 1.5</w:t>
      </w:r>
    </w:p>
    <w:p>
      <w:pPr>
        <w:pStyle w:val="Heading1"/>
      </w:pPr>
      <w:r>
        <w:t>Die interessierten Parteien eines Festes einbeziehen</w:t>
      </w:r>
    </w:p>
    <w:p>
      <w:pPr>
        <w:spacing w:after="0"/>
      </w:pPr>
      <w:r>
        <w:rPr>
          <w:b w:val="0"/>
          <w:i/>
          <w:color w:val="5A5A5A"/>
        </w:rPr>
        <w:t>Abschnitt 1.5 · Interessierte Parteien und die Legitimität des Hauses</w:t>
      </w:r>
    </w:p>
    <w:p>
      <w:pPr>
        <w:spacing w:after="160"/>
      </w:pPr>
      <w:r>
        <w:rPr>
          <w:b w:val="0"/>
          <w:i w:val="0"/>
          <w:color w:val="5A5A5A"/>
          <w:sz w:val="18"/>
        </w:rPr>
        <w:t>Modellfall im Buch: Innsbruck</w:t>
      </w:r>
    </w:p>
    <w:tbl>
      <w:tblPr>
        <w:tblW w:type="auto" w:w="0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</w:tblPr>
      <w:tblGrid>
        <w:gridCol w:w="9638"/>
      </w:tblGrid>
      <w:tr>
        <w:tc>
          <w:tcPr>
            <w:tcW w:type="dxa" w:w="9638"/>
            <w:shd w:val="clear" w:color="auto" w:fill="EFE7DC"/>
          </w:tcPr>
          <w:p>
            <w:r/>
            <w:r>
              <w:rPr>
                <w:b/>
                <w:color w:val="8C5A2B"/>
                <w:sz w:val="18"/>
              </w:rPr>
              <w:t>LEITFRAGE</w:t>
              <w:br/>
            </w:r>
            <w:r>
              <w:rPr>
                <w:sz w:val="21"/>
              </w:rPr>
              <w:t>Wer außer Ihrem Kunden entscheidet mit, ob Ihr Haus im nächsten Jahr noch Feste ausrichten kann? Und wann haben Sie diese Menschen zuletzt gefragt, bevor Sie gefeiert haben?</w:t>
            </w:r>
          </w:p>
        </w:tc>
      </w:tr>
    </w:tbl>
    <w:p>
      <w:pPr>
        <w:spacing w:after="0"/>
      </w:pPr>
    </w:p>
    <w:p>
      <w:r>
        <w:rPr>
          <w:sz w:val="18"/>
        </w:rPr>
        <w:t>Dieses Blatt gibt das Arbeitsmaterial des Abschnitts in bearbeitbarer Form wieder. Die Texte stammen aus dem Buch; die leeren Spalten sind für die Angaben des eigenen Hauses bestimmt.</w:t>
      </w:r>
    </w:p>
    <w:p>
      <w:pPr>
        <w:pStyle w:val="Heading2"/>
      </w:pPr>
      <w:r>
        <w:t>Das Werkzeug: Höflichkeit und Einbeziehung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Merkmal</w:t>
            </w:r>
          </w:p>
        </w:tc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Höflichkeit</w:t>
            </w:r>
          </w:p>
        </w:tc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Einbeziehung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Zeitpunkt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nach der Beschwerde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vor der Planung und danach</w:t>
            </w:r>
          </w:p>
        </w:tc>
      </w:tr>
      <w:tr>
        <w:trPr>
          <w:cantSplit w:val="true"/>
        </w:trPr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Form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einzelne Antwort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Ablauf mit Zuständigkeit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Gedächtnis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beim Direktor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festgehalten und gelesen</w:t>
            </w:r>
          </w:p>
        </w:tc>
      </w:tr>
      <w:tr>
        <w:trPr>
          <w:cantSplit w:val="true"/>
        </w:trPr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Wirkung auf das nächste Fest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keine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Änderungen im Bankettauftrag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Rückmeldung an die Betroffenen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Entschuldigung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was übernommen wurde und was nicht</w:t>
            </w:r>
          </w:p>
        </w:tc>
      </w:tr>
    </w:tbl>
    <w:p>
      <w:pPr>
        <w:spacing w:after="40"/>
      </w:pPr>
    </w:p>
    <w:p>
      <w:pPr>
        <w:pStyle w:val="Heading2"/>
      </w:pPr>
      <w:r>
        <w:t>Praktische Anwendung: die interessierten Parteien eines Festes in sieben Schritten einbeziehen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1.</w:t>
        <w:tab/>
      </w:r>
      <w:r>
        <w:rPr>
          <w:b/>
        </w:rPr>
        <w:t>Die Beschwerden einsammeln.</w:t>
      </w:r>
      <w:r>
        <w:t xml:space="preserve"> Alle Beschwerden, Anrufe und Briefe der letzten zwei Jahre an eine Stelle bringen, nach Veranstaltung und Anlass geordnet. Was kehrt wieder?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2.</w:t>
        <w:tab/>
      </w:r>
      <w:r>
        <w:rPr>
          <w:b/>
        </w:rPr>
        <w:t>Die Betroffenen je Art von Fest bestimmen.</w:t>
      </w:r>
      <w:r>
        <w:t xml:space="preserve"> Für Tagung, Firmenfeier, Hochzeit und Ball getrennt: Wer ist betroffen, wer hat Einfluss, wer macht die Arbeit? Die Liste der Norm unter 4.2 a) bis i) dient als Prüfung.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3.</w:t>
        <w:tab/>
      </w:r>
      <w:r>
        <w:rPr>
          <w:b/>
        </w:rPr>
        <w:t>Die Erwartungen aufschreiben und abwägen.</w:t>
      </w:r>
      <w:r>
        <w:t xml:space="preserve"> Was erwarten die Anrainer, die Leihkräfte, die Stadt? Was davon nimmt das Haus auf, was nicht, und warum?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4.</w:t>
        <w:tab/>
      </w:r>
      <w:r>
        <w:rPr>
          <w:b/>
        </w:rPr>
        <w:t>Eine Zuständigkeit festlegen.</w:t>
      </w:r>
      <w:r>
        <w:t xml:space="preserve"> Eine Person führt den Ablauf, bringt die Ergebnisse in den Bankettauftrag und berichtet der Direktion. Sie ist auch in der Nacht des Festes erreichbar.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5.</w:t>
        <w:tab/>
      </w:r>
      <w:r>
        <w:rPr>
          <w:b/>
        </w:rPr>
        <w:t>Vor großen Festen informieren.</w:t>
      </w:r>
      <w:r>
        <w:t xml:space="preserve"> Die Anrainer erfahren rechtzeitig Datum, Endzeit, Busplatz und eine Telefonnummer für den Abend. Der Kunde erfährt vorher, welche Regeln für Busse, Musik und Raucher gelten.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6.</w:t>
        <w:tab/>
      </w:r>
      <w:r>
        <w:rPr>
          <w:b/>
        </w:rPr>
        <w:t>Leihkräfte wie eigene einplanen.</w:t>
      </w:r>
      <w:r>
        <w:t xml:space="preserve"> Umkleide, Pause, Verpflegung und Heimweg stehen im Plan des Abends, für alle Kräfte, und mit der Leihfirma ist geklärt, wer wofür sorgt.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7.</w:t>
        <w:tab/>
      </w:r>
      <w:r>
        <w:rPr>
          <w:b/>
        </w:rPr>
        <w:t>Nachher zuhören und antworten.</w:t>
      </w:r>
      <w:r>
        <w:t xml:space="preserve"> Nach jedem großen Fest die Rückmeldungen sammeln und den Betroffenen sagen, was sich ändert. Einmal im Jahr berichtet die Direktion der Eigentümerin.</w:t>
      </w:r>
    </w:p>
    <w:p>
      <w:pPr>
        <w:keepNext/>
        <w:spacing w:after="40"/>
      </w:pPr>
      <w:r>
        <w:rPr>
          <w:b/>
          <w:i w:val="0"/>
          <w:color w:val="8C5A2B"/>
          <w:sz w:val="18"/>
        </w:rPr>
        <w:t>Umsetzung im eigenen Haus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649"/>
        <w:gridCol w:w="2041"/>
        <w:gridCol w:w="1474"/>
        <w:gridCol w:w="1474"/>
      </w:tblGrid>
      <w:tr>
        <w:trPr>
          <w:cantSplit w:val="true"/>
          <w:tblHeader w:val="true"/>
        </w:trPr>
        <w:tc>
          <w:tcPr>
            <w:tcW w:type="dxa" w:w="464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Schritt</w:t>
            </w:r>
          </w:p>
        </w:tc>
        <w:tc>
          <w:tcPr>
            <w:tcW w:type="dxa" w:w="204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Verantwortlich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Termin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Erledigt</w:t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1. Die Beschwerden einsammeln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2. Die Betroffenen je Art von Fest bestimmen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3. Die Erwartungen aufschreiben und abwägen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4. Eine Zuständigkeit festlegen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5. Vor großen Festen informieren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6. Leihkräfte wie eigene einplanen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7. Nachher zuhören und antworten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Prüf-Checkliste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16"/>
        <w:gridCol w:w="680"/>
        <w:gridCol w:w="680"/>
        <w:gridCol w:w="3061"/>
      </w:tblGrid>
      <w:tr>
        <w:trPr>
          <w:cantSplit w:val="true"/>
          <w:tblHeader w:val="true"/>
        </w:trPr>
        <w:tc>
          <w:tcPr>
            <w:tcW w:type="dxa" w:w="5216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Frage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Ja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Nein</w:t>
            </w:r>
          </w:p>
        </w:tc>
        <w:tc>
          <w:tcPr>
            <w:tcW w:type="dxa" w:w="306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Nachweis / Bemerkung</w:t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Haben wir für jede Art von Veranstaltung bestimmt, wer betroffen ist?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Liegen die Beschwerden der letzten zwei Jahre gesammelt vor?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Ist festgehalten, welche Erwartungen wir aufnehmen und welche nicht?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Erfahren die Anrainer vor großen Festen, was sie erwartet?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Gibt es in der Nacht eines Festes eine erreichbare Person für Beschwerden?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Sind Leihkräfte im Plan des Abends mit Umkleide, Pause und Heimweg berücksichtigt?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Kennt der Kunde vorher unsere Regeln für Busse, Musik und Raucher?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Erfahren die Betroffenen, was wir nach ihren Rückmeldungen geändert haben?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Häufige Fehler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Nur den zahlenden Kunden als Partei sehen.</w:t>
      </w:r>
      <w:r>
        <w:t xml:space="preserve"> Dann erfährt das Haus von den anderen erst durch ihre Beschwerden.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Auf jede Beschwerde einzeln antworten und keine sammeln.</w:t>
      </w:r>
      <w:r>
        <w:t xml:space="preserve"> Jede Antwort ist höflich, und keine ändert etwas.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Die Verantwortung für bestellte Leistungen dem Kunden zuschieben.</w:t>
      </w:r>
      <w:r>
        <w:t xml:space="preserve"> Die Busse stehen vor dem Haus, nicht vor dem Kunden.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Leihkräfte als Sache der Leihfirma behandeln.</w:t>
      </w:r>
      <w:r>
        <w:t xml:space="preserve"> Das Recht und die Norm sehen das anders.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Genehmigung mit Duldung verwechseln.</w:t>
      </w:r>
      <w:r>
        <w:t xml:space="preserve"> Was erlaubt ist, kann trotzdem die Nachbarschaft kosten.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Die Nachbarschaft dem Direktor überlassen.</w:t>
      </w:r>
      <w:r>
        <w:t xml:space="preserve"> Wenn die Stadt anruft, fragt sie nach der Eigentümerin.</w:t>
      </w:r>
    </w:p>
    <w:p>
      <w:pPr>
        <w:pStyle w:val="Heading2"/>
      </w:pPr>
      <w:r>
        <w:t>Modellrechnung</w:t>
      </w:r>
    </w:p>
    <w:p>
      <w:r>
        <w:rPr>
          <w:b w:val="0"/>
          <w:i/>
          <w:color w:val="5A5A5A"/>
          <w:sz w:val="18"/>
        </w:rPr>
        <w:t>Modellannahme, kein belegter Branchenwert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1474"/>
        <w:gridCol w:w="3175"/>
        <w:gridCol w:w="1814"/>
      </w:tblGrid>
      <w:tr>
        <w:trPr>
          <w:cantSplit w:val="true"/>
          <w:tblHeader w:val="true"/>
        </w:trPr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Posten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Betrag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Anmerkung</w:t>
            </w:r>
          </w:p>
        </w:tc>
        <w:tc>
          <w:tcPr>
            <w:tcW w:type="dxa" w:w="181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Eigener Wert</w:t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Umsatz der Jubiläumsfeier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€ 85.000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einmalig; Saal, Bankett, Getränke, Technik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Feste mit mehr als 200 Gästen im Jahr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18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Annahme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Umsatz dieser Feste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€ 1.200.000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jährlich; hängt an der Duldung der Nachbarschaft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Raucherbereich im Innenhof mit Aschenbechern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€ 4.500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Taxi für Leihkräfte nach 1 Uhr, 12 Kräfte zu € 25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€ 300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 Fest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Anrainerinformation und Nachbereitung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6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 großes Fest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 Abend mit den Anrainern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10 Stunden und € 800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jährlich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Die Rechnung stellt Posten von einigen hundert Euro neben einen Jahresumsatz von über einer Million. Sie sagt nicht, dass die Stadt diesen Umsatz gefährden würde. Sie zeigt, wovon er abhängt.</w:t>
      </w:r>
    </w:p>
    <w:p>
      <w:pPr>
        <w:pStyle w:val="Heading2"/>
      </w:pPr>
      <w:r>
        <w:t>Was verlangt ist, und was nur Anleitung 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288"/>
        <w:gridCol w:w="3175"/>
        <w:gridCol w:w="3175"/>
      </w:tblGrid>
      <w:tr>
        <w:trPr>
          <w:cantSplit w:val="true"/>
          <w:tblHeader w:val="true"/>
        </w:trPr>
        <w:tc>
          <w:tcPr>
            <w:tcW w:type="dxa" w:w="3288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Verlangt (Norm)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Was es im Hotel belegt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Nur Anhang oder Methode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Relevante Parteien bestimmen (4.2)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Liste je Art von Veranstaltung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Rollen und Beispiele (Tabelle A.1)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Relevante Anforderungen bestimmen (4.2)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Erwartungen je Partei, mit Quelle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Methode: Beschwerden der letzten zwei Jahre auswerten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Festlegen, was das System aufgreift (4.2)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Vermerk mit Begründung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keine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Prozess zur Identifizierung und Einbeziehung (4.2)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Ablauf mit Zuständigkeit und Terminen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Gespräche, Sitzungen, Arbeitsgruppen (Anmerkung 3)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Ergebnisse dokumentieren, wo angemessen (4.2)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Protokolle, Antworten, Änderungen im Bankettauftrag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Methode: Anrainerinformation vor großen Festen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Inklusion als Leitprinzip (4.5)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Leitbild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Beschreibung der Inklusion (Tabelle A.2)</w:t>
            </w:r>
          </w:p>
        </w:tc>
      </w:tr>
    </w:tbl>
    <w:p>
      <w:pPr>
        <w:spacing w:after="40"/>
      </w:pPr>
    </w:p>
    <w:p>
      <w:pPr>
        <w:pStyle w:val="Heading2"/>
      </w:pPr>
      <w:r>
        <w:t>DACH-Anker: Veranstaltung, Nachbarschaft, Leihpersonal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474"/>
        <w:gridCol w:w="2721"/>
        <w:gridCol w:w="2721"/>
        <w:gridCol w:w="2721"/>
      </w:tblGrid>
      <w:tr>
        <w:trPr>
          <w:cantSplit w:val="true"/>
          <w:tblHeader w:val="true"/>
        </w:trPr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Ebene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Deutschland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Österreich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Schweiz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Veranstaltungsrecht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Landesrecht, je Bundesland verschieden (1.12)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Landesrecht; in Tirol Veranstaltungsgesetz 2003: öffentliche Veranstaltungen anzumelden, mit Ausnahmen (§ 4)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kantonales Recht (1.12)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Schutz vor Lärm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im Einzelfall nach Landes- und Bundesrecht (1.12)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Tirol: Veranstaltungen dürfen Menschen nicht unzumutbar durch Lärm belästigen (§ 3 TVG)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kantonales und kommunales Recht (1.12)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Zulassung des Verleihers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Erlaubnis nötig (§ 1 Abs. 1 AÜG)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nicht Gegenstand dieses Abschnitts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Bewilligung nötig (Art. 12 ff. AVG); öffentliches Verzeichnis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Pflichten des Hotels gegenüber Leihkräften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Arbeitsschutzpflichten des Entleihers; Unterweisung vor Beginn (§ 11 Abs. 6 AÜG)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Beschäftiger gilt als Arbeitgeber im Arbeitnehmerschutz; Fürsorgepflichten (§ 6 AÜG)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nicht Gegenstand dieses Abschnitts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Einbeziehung der Nachbarschaft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Prozess nach 4.2 der Norm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Prozess nach 4.2 der Norm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Prozess nach 4.2 der Norm</w:t>
            </w:r>
          </w:p>
        </w:tc>
      </w:tr>
    </w:tbl>
    <w:p>
      <w:pPr>
        <w:spacing w:after="40"/>
      </w:pPr>
    </w:p>
    <w:p>
      <w:r>
        <w:rPr>
          <w:b w:val="0"/>
          <w:i w:val="0"/>
          <w:color w:val="5A5A5A"/>
          <w:sz w:val="17"/>
        </w:rPr>
        <w:t>Stand der Tabelle: 22. Oktober 2026, wie im Buch. Die laufende Fassung mit Änderungen nach diesem Stichtag steht in Band8a_Rechtsanker_DACH_laufend.xlsx. Die Tabelle ersetzt keine Prüfung der geltenden Fassung und keine Rechtsberatung im Einzelfall.</w:t>
      </w:r>
    </w:p>
    <w:p>
      <w:r>
        <w:rPr>
          <w:b w:val="0"/>
          <w:i w:val="0"/>
          <w:color w:val="5A5A5A"/>
          <w:sz w:val="17"/>
        </w:rPr>
        <w:t>Quelle: Francesco Dore, Das Steuer und die Lupe, Band 8a «Das Fest und seine Spuren», Abschnitt 1.5. Edizioni Effedore, 2026.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A5A5A"/>
        <w:sz w:val="15"/>
      </w:rPr>
      <w:t xml:space="preserve">Arbeitsmaterial 1.5 · Edizioni Effedore · buecher.effedore.com · Arbeitshilfe, keine Rechtsberatung  ·  Seite </w:t>
    </w:r>
    <w:r>
      <w:rPr>
        <w:color w:val="5A5A5A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8C5A2B"/>
        <w:sz w:val="15"/>
      </w:rPr>
      <w:t>Das Steuer und die Lupe · Band 8a · ISO 20121 — Das Fest und seine Spuren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eastAsia="Aptos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majorHAnsi" w:cstheme="majorBidi" w:ascii="Aptos" w:hAnsi="Aptos"/>
      <w:b/>
      <w:bCs/>
      <w:color w:val="8C5A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majorHAnsi" w:cstheme="majorBidi" w:ascii="Aptos" w:hAnsi="Aptos"/>
      <w:b/>
      <w:bCs/>
      <w:color w:val="8C5A2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Arbeitsmaterial 1.5 — Die interessierten Parteien eines Festes einbeziehen</dc:title>
  <dc:subject/>
  <dc:creator>Francesco Dore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