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1.6</w:t>
      </w:r>
    </w:p>
    <w:p>
      <w:pPr>
        <w:pStyle w:val="Heading1"/>
      </w:pPr>
      <w:r>
        <w:t>Das Reputationsrisiko einer Veranstaltung beherrschen</w:t>
      </w:r>
    </w:p>
    <w:p>
      <w:pPr>
        <w:spacing w:after="0"/>
      </w:pPr>
      <w:r>
        <w:rPr>
          <w:b w:val="0"/>
          <w:i/>
          <w:color w:val="5A5A5A"/>
        </w:rPr>
        <w:t>Abschnitt 1.6 · Reputationsrisiko: wenn die Veranstaltung öffentlich wird</w:t>
      </w:r>
    </w:p>
    <w:p>
      <w:pPr>
        <w:spacing w:after="160"/>
      </w:pPr>
      <w:r>
        <w:rPr>
          <w:b w:val="0"/>
          <w:i w:val="0"/>
          <w:color w:val="5A5A5A"/>
          <w:sz w:val="18"/>
        </w:rPr>
        <w:t>Modellfall im Buch: Dresden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Was sieht ein Fremder, der um drei Uhr früh durch das Tor Ihres Wirtschaftshofs filmt, nachdem in Ihrem Saal gefeiert wurde? Und stimmt es mit dem überein, was auf Ihrer Website steht?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Drei Bedingungen, die das Haus kannte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Bedingung</w:t>
            </w:r>
          </w:p>
        </w:tc>
        <w:tc>
          <w:tcPr>
            <w:tcW w:type="dxa" w:w="3213"/>
            <w:shd w:val="clear" w:color="auto" w:fill="8C5A2B"/>
          </w:tcPr>
          <w:p>
            <w:pPr>
              <w:spacing w:after="0" w:before="0"/>
            </w:pPr>
            <w:r/>
            <w:r>
              <w:rPr>
                <w:b/>
                <w:i w:val="0"/>
                <w:color w:val="FFFFFF"/>
                <w:sz w:val="18"/>
              </w:rPr>
              <w:t>Bekannt seit</w:t>
            </w:r>
          </w:p>
        </w:tc>
        <w:tc>
          <w:tcPr>
            <w:tcW w:type="dxa" w:w="3213"/>
            <w:shd w:val="clear" w:color="auto" w:fill="8C5A2B"/>
          </w:tcPr>
          <w:p>
            <w:pPr>
              <w:spacing w:after="0" w:before="0"/>
            </w:pPr>
            <w:r/>
            <w:r>
              <w:rPr>
                <w:b/>
                <w:i w:val="0"/>
                <w:color w:val="FFFFFF"/>
                <w:sz w:val="18"/>
              </w:rPr>
              <w:t>Was gefehlt hat</w:t>
            </w:r>
          </w:p>
        </w:tc>
      </w:tr>
      <w:tr>
        <w:trPr>
          <w:cantSplit w:val="true"/>
        </w:trPr>
        <w:tc>
          <w:tcPr>
            <w:tcW w:type="dxa" w:w="3213"/>
          </w:tcPr>
          <w:p>
            <w:pPr>
              <w:spacing w:after="0" w:before="0"/>
            </w:pPr>
            <w:r/>
            <w:r>
              <w:rPr>
                <w:b w:val="0"/>
                <w:i w:val="0"/>
                <w:color w:val="1A1A1A"/>
                <w:sz w:val="18"/>
              </w:rPr>
              <w:t>Gästezahl kurzfristig gesenkt</w:t>
            </w:r>
          </w:p>
        </w:tc>
        <w:tc>
          <w:tcPr>
            <w:tcW w:type="dxa" w:w="3213"/>
          </w:tcPr>
          <w:p>
            <w:pPr>
              <w:spacing w:after="0" w:before="0"/>
            </w:pPr>
            <w:r/>
            <w:r>
              <w:rPr>
                <w:b w:val="0"/>
                <w:i w:val="0"/>
                <w:color w:val="1A1A1A"/>
                <w:sz w:val="18"/>
              </w:rPr>
              <w:t>Donnerstag</w:t>
            </w:r>
          </w:p>
        </w:tc>
        <w:tc>
          <w:tcPr>
            <w:tcW w:type="dxa" w:w="3213"/>
          </w:tcPr>
          <w:p>
            <w:pPr>
              <w:spacing w:after="0" w:before="0"/>
            </w:pPr>
            <w:r/>
            <w:r>
              <w:rPr>
                <w:b w:val="0"/>
                <w:i w:val="0"/>
                <w:color w:val="1A1A1A"/>
                <w:sz w:val="18"/>
              </w:rPr>
              <w:t>Meldung an Küche und Restmengenweg</w:t>
            </w:r>
          </w:p>
        </w:tc>
      </w:tr>
      <w:tr>
        <w:trPr>
          <w:cantSplit w:val="true"/>
        </w:trPr>
        <w:tc>
          <w:tcPr>
            <w:tcW w:type="dxa" w:w="3213"/>
            <w:shd w:val="clear" w:color="auto" w:fill="F3EFE6"/>
          </w:tcPr>
          <w:p>
            <w:pPr>
              <w:spacing w:after="0" w:before="0"/>
            </w:pPr>
            <w:r/>
            <w:r>
              <w:rPr>
                <w:b w:val="0"/>
                <w:i w:val="0"/>
                <w:color w:val="1A1A1A"/>
                <w:sz w:val="18"/>
              </w:rPr>
              <w:t>Abholung nur werktags</w:t>
            </w:r>
          </w:p>
        </w:tc>
        <w:tc>
          <w:tcPr>
            <w:tcW w:type="dxa" w:w="3213"/>
            <w:shd w:val="clear" w:color="auto" w:fill="F3EFE6"/>
          </w:tcPr>
          <w:p>
            <w:pPr>
              <w:spacing w:after="0" w:before="0"/>
            </w:pPr>
            <w:r/>
            <w:r>
              <w:rPr>
                <w:b w:val="0"/>
                <w:i w:val="0"/>
                <w:color w:val="1A1A1A"/>
                <w:sz w:val="18"/>
              </w:rPr>
              <w:t>Abschluss der Vereinbarung</w:t>
            </w:r>
          </w:p>
        </w:tc>
        <w:tc>
          <w:tcPr>
            <w:tcW w:type="dxa" w:w="3213"/>
            <w:shd w:val="clear" w:color="auto" w:fill="F3EFE6"/>
          </w:tcPr>
          <w:p>
            <w:pPr>
              <w:spacing w:after="0" w:before="0"/>
            </w:pPr>
            <w:r/>
            <w:r>
              <w:rPr>
                <w:b w:val="0"/>
                <w:i w:val="0"/>
                <w:color w:val="1A1A1A"/>
                <w:sz w:val="18"/>
              </w:rPr>
              <w:t>Regel für Wochenenden</w:t>
            </w:r>
          </w:p>
        </w:tc>
      </w:tr>
      <w:tr>
        <w:trPr>
          <w:cantSplit w:val="true"/>
        </w:trPr>
        <w:tc>
          <w:tcPr>
            <w:tcW w:type="dxa" w:w="3213"/>
          </w:tcPr>
          <w:p>
            <w:pPr>
              <w:spacing w:after="0" w:before="0"/>
            </w:pPr>
            <w:r/>
            <w:r>
              <w:rPr>
                <w:b w:val="0"/>
                <w:i w:val="0"/>
                <w:color w:val="1A1A1A"/>
                <w:sz w:val="18"/>
              </w:rPr>
              <w:t>Hof nachts offen</w:t>
            </w:r>
          </w:p>
        </w:tc>
        <w:tc>
          <w:tcPr>
            <w:tcW w:type="dxa" w:w="3213"/>
          </w:tcPr>
          <w:p>
            <w:pPr>
              <w:spacing w:after="0" w:before="0"/>
            </w:pPr>
            <w:r/>
            <w:r>
              <w:rPr>
                <w:b w:val="0"/>
                <w:i w:val="0"/>
                <w:color w:val="1A1A1A"/>
                <w:sz w:val="18"/>
              </w:rPr>
              <w:t>jeder Reinigung nach Festen</w:t>
            </w:r>
          </w:p>
        </w:tc>
        <w:tc>
          <w:tcPr>
            <w:tcW w:type="dxa" w:w="3213"/>
          </w:tcPr>
          <w:p>
            <w:pPr>
              <w:spacing w:after="0" w:before="0"/>
            </w:pPr>
            <w:r/>
            <w:r>
              <w:rPr>
                <w:b w:val="0"/>
                <w:i w:val="0"/>
                <w:color w:val="1A1A1A"/>
                <w:sz w:val="18"/>
              </w:rPr>
              <w:t>Zuständigkeit für Tor und Tonnen</w:t>
            </w:r>
          </w:p>
        </w:tc>
      </w:tr>
      <w:tr>
        <w:trPr>
          <w:cantSplit w:val="true"/>
        </w:trPr>
        <w:tc>
          <w:tcPr>
            <w:tcW w:type="dxa" w:w="3213"/>
            <w:shd w:val="clear" w:color="auto" w:fill="F3EFE6"/>
          </w:tcPr>
          <w:p>
            <w:pPr>
              <w:spacing w:after="0" w:before="0"/>
            </w:pPr>
            <w:r/>
            <w:r>
              <w:rPr>
                <w:b w:val="0"/>
                <w:i w:val="0"/>
                <w:color w:val="1A1A1A"/>
                <w:sz w:val="18"/>
              </w:rPr>
              <w:t>Hinweis der Nacht</w:t>
            </w:r>
          </w:p>
        </w:tc>
        <w:tc>
          <w:tcPr>
            <w:tcW w:type="dxa" w:w="3213"/>
            <w:shd w:val="clear" w:color="auto" w:fill="F3EFE6"/>
          </w:tcPr>
          <w:p>
            <w:pPr>
              <w:spacing w:after="0" w:before="0"/>
            </w:pPr>
            <w:r/>
            <w:r>
              <w:rPr>
                <w:b w:val="0"/>
                <w:i w:val="0"/>
                <w:color w:val="1A1A1A"/>
                <w:sz w:val="18"/>
              </w:rPr>
              <w:t>1.35 Uhr</w:t>
            </w:r>
          </w:p>
        </w:tc>
        <w:tc>
          <w:tcPr>
            <w:tcW w:type="dxa" w:w="3213"/>
            <w:shd w:val="clear" w:color="auto" w:fill="F3EFE6"/>
          </w:tcPr>
          <w:p>
            <w:pPr>
              <w:spacing w:after="0" w:before="0"/>
            </w:pPr>
            <w:r/>
            <w:r>
              <w:rPr>
                <w:b w:val="0"/>
                <w:i w:val="0"/>
                <w:color w:val="1A1A1A"/>
                <w:sz w:val="18"/>
              </w:rPr>
              <w:t>Weg vom Nachtbuch zur Entscheidung</w:t>
            </w:r>
          </w:p>
        </w:tc>
      </w:tr>
    </w:tbl>
    <w:p>
      <w:pPr>
        <w:spacing w:after="40"/>
      </w:pPr>
    </w:p>
    <w:p>
      <w:pPr>
        <w:pStyle w:val="Heading2"/>
      </w:pPr>
      <w:r>
        <w:t>Praktische Anwendung: das Reputationsrisiko einer Veranstaltung in sieben Schritten beherrschen</w:t>
      </w:r>
    </w:p>
    <w:p>
      <w:pPr>
        <w:tabs>
          <w:tab w:pos="340" w:val="left"/>
        </w:tabs>
        <w:ind w:left="340" w:hanging="340"/>
      </w:pPr>
      <w:r>
        <w:rPr>
          <w:b/>
          <w:color w:val="8C5A2B"/>
        </w:rPr>
        <w:t>1.</w:t>
        <w:tab/>
      </w:r>
      <w:r>
        <w:rPr>
          <w:b/>
        </w:rPr>
        <w:t>Jede Aussage gegen die Rückseite prüfen.</w:t>
      </w:r>
      <w:r>
        <w:t xml:space="preserve"> Website, Angebote, Bankettmappe: Zu jeder Nachhaltigkeitsaussage gehören die Bedingungen, unter denen sie stimmt. Was nicht immer stimmt, wird eingeschränkt oder gestrichen.</w:t>
      </w:r>
    </w:p>
    <w:p>
      <w:pPr>
        <w:tabs>
          <w:tab w:pos="340" w:val="left"/>
        </w:tabs>
        <w:ind w:left="340" w:hanging="340"/>
      </w:pPr>
      <w:r>
        <w:rPr>
          <w:b/>
          <w:color w:val="8C5A2B"/>
        </w:rPr>
        <w:t>2.</w:t>
        <w:tab/>
      </w:r>
      <w:r>
        <w:rPr>
          <w:b/>
        </w:rPr>
        <w:t>Die Rückseite einer großen Veranstaltung begehen.</w:t>
      </w:r>
      <w:r>
        <w:t xml:space="preserve"> Einmal mit Direktion, Küche und Haustechnik nachts durch Hof, Spülküche und Lieferweg gehen. Was würde ein Fremder dort sehen?</w:t>
      </w:r>
    </w:p>
    <w:p>
      <w:pPr>
        <w:tabs>
          <w:tab w:pos="340" w:val="left"/>
        </w:tabs>
        <w:ind w:left="340" w:hanging="340"/>
      </w:pPr>
      <w:r>
        <w:rPr>
          <w:b/>
          <w:color w:val="8C5A2B"/>
        </w:rPr>
        <w:t>3.</w:t>
        <w:tab/>
      </w:r>
      <w:r>
        <w:rPr>
          <w:b/>
        </w:rPr>
        <w:t>Bedingungen zusammendenken.</w:t>
      </w:r>
      <w:r>
        <w:t xml:space="preserve"> Für jede Art von Veranstaltung die Bedingungen aufschreiben, die zusammen einen Schaden ergeben können: Änderung der Gästezahl, Wochenende, Partner nicht erreichbar, Tor offen.</w:t>
      </w:r>
    </w:p>
    <w:p>
      <w:pPr>
        <w:tabs>
          <w:tab w:pos="340" w:val="left"/>
        </w:tabs>
        <w:ind w:left="340" w:hanging="340"/>
      </w:pPr>
      <w:r>
        <w:rPr>
          <w:b/>
          <w:color w:val="8C5A2B"/>
        </w:rPr>
        <w:t>4.</w:t>
        <w:tab/>
      </w:r>
      <w:r>
        <w:rPr>
          <w:b/>
        </w:rPr>
        <w:t>Änderungen an alle melden, die sie betreffen.</w:t>
      </w:r>
      <w:r>
        <w:t xml:space="preserve"> Eine geänderte Gästezahl geht nicht nur in die Rechnung, sondern auch an Küche, Service und den Weg für die Reste. Wer meldet, steht im Bankettauftrag.</w:t>
      </w:r>
    </w:p>
    <w:p>
      <w:pPr>
        <w:tabs>
          <w:tab w:pos="340" w:val="left"/>
        </w:tabs>
        <w:ind w:left="340" w:hanging="340"/>
      </w:pPr>
      <w:r>
        <w:rPr>
          <w:b/>
          <w:color w:val="8C5A2B"/>
        </w:rPr>
        <w:t>5.</w:t>
        <w:tab/>
      </w:r>
      <w:r>
        <w:rPr>
          <w:b/>
        </w:rPr>
        <w:t>Den Hinweis aus der Nacht ankommen lassen.</w:t>
      </w:r>
      <w:r>
        <w:t xml:space="preserve"> Auffälligkeiten aus dem Nachtbuch gehen am Morgen an eine benannte Person, die sie beantwortet. Der Nachtdienst erfährt, was daraus geworden ist.</w:t>
      </w:r>
    </w:p>
    <w:p>
      <w:pPr>
        <w:tabs>
          <w:tab w:pos="340" w:val="left"/>
        </w:tabs>
        <w:ind w:left="340" w:hanging="340"/>
      </w:pPr>
      <w:r>
        <w:rPr>
          <w:b/>
          <w:color w:val="8C5A2B"/>
        </w:rPr>
        <w:t>6.</w:t>
        <w:tab/>
      </w:r>
      <w:r>
        <w:rPr>
          <w:b/>
        </w:rPr>
        <w:t>Die Antwort für den Tag X vorbereiten.</w:t>
      </w:r>
      <w:r>
        <w:t xml:space="preserve"> Wer spricht, was ist belegt, was ist offen? Kein Satz verlässt das Haus, der nicht gegen die Akten geprüft ist.</w:t>
      </w:r>
    </w:p>
    <w:p>
      <w:pPr>
        <w:tabs>
          <w:tab w:pos="340" w:val="left"/>
        </w:tabs>
        <w:ind w:left="340" w:hanging="340"/>
      </w:pPr>
      <w:r>
        <w:rPr>
          <w:b/>
          <w:color w:val="8C5A2B"/>
        </w:rPr>
        <w:t>7.</w:t>
        <w:tab/>
      </w:r>
      <w:r>
        <w:rPr>
          <w:b/>
        </w:rPr>
        <w:t>Die Lehre nach oben geben.</w:t>
      </w:r>
      <w:r>
        <w:t xml:space="preserve"> Jeder Vorfall geht mit Ursache und Änderung an die Managementbewertung und an die Eigentümer, nicht nur an das Marketing.</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Jede Aussage gegen die Rückseite prüfen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Rückseite einer großen Veranstaltung begehen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Bedingungen zusammendenken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Änderungen an alle melden, die sie betreffen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Den Hinweis aus der Nacht ankommen lassen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Die Antwort für den Tag X vorbereiten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Lehre nach oben geben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Stimmt jede Nachhaltigkeitsaussage auf unserer Website auch an Wochenenden und bei Absagen?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Waren Direktion und Eigentümervertretung je nachts auf dem Hof nach einem großen Fest?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Geht eine geänderte Gästezahl automatisch an die Küche und an den Weg für die Reste?</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Gibt es für übrig gebliebene Speisen eine Regel für jeden Wochentag?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Liest jemand mit Entscheidungsbefugnis die Einträge des Nachtbuchs?</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festgelegt, wer im Fall einer öffentlichen Kritik spricht und was er vorher prüft?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Kennen wir die Mengen an Speiseresten unserer großen Veranstaltungen?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Erfahren die Eigentümer von Vorfällen und ihren Ursachen, nicht nur von Bewertungen?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Mit dem guten Tag werben.</w:t>
      </w:r>
      <w:r>
        <w:t xml:space="preserve"> Eine Aussage, die nur an Wochentagen stimmt, wird an einem Samstag widerlegt.</w:t>
      </w:r>
    </w:p>
    <w:p>
      <w:pPr>
        <w:tabs>
          <w:tab w:pos="340" w:val="left"/>
        </w:tabs>
        <w:ind w:left="340" w:hanging="340"/>
      </w:pPr>
      <w:r>
        <w:rPr>
          <w:color w:val="8C5A2B"/>
        </w:rPr>
        <w:t>–</w:t>
        <w:tab/>
      </w:r>
      <w:r>
        <w:rPr>
          <w:b/>
        </w:rPr>
        <w:t>Änderungen nur verbuchen.</w:t>
      </w:r>
      <w:r>
        <w:t xml:space="preserve"> Die Rechnung stimmt, und die Küche hat für die alte Zahl gekocht.</w:t>
      </w:r>
    </w:p>
    <w:p>
      <w:pPr>
        <w:tabs>
          <w:tab w:pos="340" w:val="left"/>
        </w:tabs>
        <w:ind w:left="340" w:hanging="340"/>
      </w:pPr>
      <w:r>
        <w:rPr>
          <w:color w:val="8C5A2B"/>
        </w:rPr>
        <w:t>–</w:t>
        <w:tab/>
      </w:r>
      <w:r>
        <w:rPr>
          <w:b/>
        </w:rPr>
        <w:t>Vereinbarungen nicht prüfen.</w:t>
      </w:r>
      <w:r>
        <w:t xml:space="preserve"> Ein Weg für Reste, der am Wochenende geschlossen ist, ist am Wochenende kein Weg.</w:t>
      </w:r>
    </w:p>
    <w:p>
      <w:pPr>
        <w:tabs>
          <w:tab w:pos="340" w:val="left"/>
        </w:tabs>
        <w:ind w:left="340" w:hanging="340"/>
      </w:pPr>
      <w:r>
        <w:rPr>
          <w:color w:val="8C5A2B"/>
        </w:rPr>
        <w:t>–</w:t>
        <w:tab/>
      </w:r>
      <w:r>
        <w:rPr>
          <w:b/>
        </w:rPr>
        <w:t>Hinweise abzeichnen statt lesen.</w:t>
      </w:r>
      <w:r>
        <w:t xml:space="preserve"> Der Nachtportier hatte es gesehen und aufgeschrieben.</w:t>
      </w:r>
    </w:p>
    <w:p>
      <w:pPr>
        <w:tabs>
          <w:tab w:pos="340" w:val="left"/>
        </w:tabs>
        <w:ind w:left="340" w:hanging="340"/>
      </w:pPr>
      <w:r>
        <w:rPr>
          <w:color w:val="8C5A2B"/>
        </w:rPr>
        <w:t>–</w:t>
        <w:tab/>
      </w:r>
      <w:r>
        <w:rPr>
          <w:b/>
        </w:rPr>
        <w:t>Auf eine irreführende Aussage mit einer zweiten antworten.</w:t>
      </w:r>
      <w:r>
        <w:t xml:space="preserve"> «Einzelfall» lässt sich nachprüfen.</w:t>
      </w:r>
    </w:p>
    <w:p>
      <w:pPr>
        <w:tabs>
          <w:tab w:pos="340" w:val="left"/>
        </w:tabs>
        <w:ind w:left="340" w:hanging="340"/>
      </w:pPr>
      <w:r>
        <w:rPr>
          <w:color w:val="8C5A2B"/>
        </w:rPr>
        <w:t>–</w:t>
        <w:tab/>
      </w:r>
      <w:r>
        <w:rPr>
          <w:b/>
        </w:rPr>
        <w:t>Den Ruf dem Marketing überlassen.</w:t>
      </w:r>
      <w:r>
        <w:t xml:space="preserve"> Er hängt im Hof, nicht in der Broschüre.</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Umsatz der Jahresgala</w:t>
            </w:r>
          </w:p>
        </w:tc>
        <w:tc>
          <w:tcPr>
            <w:tcW w:type="dxa" w:w="1474"/>
          </w:tcPr>
          <w:p>
            <w:pPr>
              <w:spacing w:after="0" w:before="0"/>
            </w:pPr>
            <w:r/>
            <w:r>
              <w:rPr>
                <w:b w:val="0"/>
                <w:i w:val="0"/>
                <w:color w:val="1A1A1A"/>
                <w:sz w:val="18"/>
              </w:rPr>
              <w:t>€ 140.000</w:t>
            </w:r>
          </w:p>
        </w:tc>
        <w:tc>
          <w:tcPr>
            <w:tcW w:type="dxa" w:w="3175"/>
          </w:tcPr>
          <w:p>
            <w:pPr>
              <w:spacing w:after="0" w:before="0"/>
            </w:pPr>
            <w:r/>
            <w:r>
              <w:rPr>
                <w:b w:val="0"/>
                <w:i w:val="0"/>
                <w:color w:val="1A1A1A"/>
                <w:sz w:val="18"/>
              </w:rPr>
              <w:t>jährlich, falls der Kunde bleibt</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Wareneinsatz für 110 nicht erschienene Gäste zu € 32</w:t>
            </w:r>
          </w:p>
        </w:tc>
        <w:tc>
          <w:tcPr>
            <w:tcW w:type="dxa" w:w="1474"/>
            <w:shd w:val="clear" w:color="auto" w:fill="F3EFE6"/>
          </w:tcPr>
          <w:p>
            <w:pPr>
              <w:spacing w:after="0" w:before="0"/>
            </w:pPr>
            <w:r/>
            <w:r>
              <w:rPr>
                <w:b w:val="0"/>
                <w:i w:val="0"/>
                <w:color w:val="1A1A1A"/>
                <w:sz w:val="18"/>
              </w:rPr>
              <w:t>€ 3.520</w:t>
            </w:r>
          </w:p>
        </w:tc>
        <w:tc>
          <w:tcPr>
            <w:tcW w:type="dxa" w:w="3175"/>
            <w:shd w:val="clear" w:color="auto" w:fill="F3EFE6"/>
          </w:tcPr>
          <w:p>
            <w:pPr>
              <w:spacing w:after="0" w:before="0"/>
            </w:pPr>
            <w:r/>
            <w:r>
              <w:rPr>
                <w:b w:val="0"/>
                <w:i w:val="0"/>
                <w:color w:val="1A1A1A"/>
                <w:sz w:val="18"/>
              </w:rPr>
              <w:t>einmalig; ohne Arbeitszeit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Stunden von Direktion, Eventmanagement und Eigentümervertretung nach dem Video</w:t>
            </w:r>
          </w:p>
        </w:tc>
        <w:tc>
          <w:tcPr>
            <w:tcW w:type="dxa" w:w="1474"/>
          </w:tcPr>
          <w:p>
            <w:pPr>
              <w:spacing w:after="0" w:before="0"/>
            </w:pPr>
            <w:r/>
            <w:r>
              <w:rPr>
                <w:b w:val="0"/>
                <w:i w:val="0"/>
                <w:color w:val="1A1A1A"/>
                <w:sz w:val="18"/>
              </w:rPr>
              <w:t>70 Stunden</w:t>
            </w:r>
          </w:p>
        </w:tc>
        <w:tc>
          <w:tcPr>
            <w:tcW w:type="dxa" w:w="3175"/>
          </w:tcPr>
          <w:p>
            <w:pPr>
              <w:spacing w:after="0" w:before="0"/>
            </w:pPr>
            <w:r/>
            <w:r>
              <w:rPr>
                <w:b w:val="0"/>
                <w:i w:val="0"/>
                <w:color w:val="1A1A1A"/>
                <w:sz w:val="18"/>
              </w:rPr>
              <w:t>erste zwei Wochen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Abholung am Wochenende durch den Verein, Aufwandsentschädigung</w:t>
            </w:r>
          </w:p>
        </w:tc>
        <w:tc>
          <w:tcPr>
            <w:tcW w:type="dxa" w:w="1474"/>
            <w:shd w:val="clear" w:color="auto" w:fill="F3EFE6"/>
          </w:tcPr>
          <w:p>
            <w:pPr>
              <w:spacing w:after="0" w:before="0"/>
            </w:pPr>
            <w:r/>
            <w:r>
              <w:rPr>
                <w:b w:val="0"/>
                <w:i w:val="0"/>
                <w:color w:val="1A1A1A"/>
                <w:sz w:val="18"/>
              </w:rPr>
              <w:t>€ 2.400</w:t>
            </w:r>
          </w:p>
        </w:tc>
        <w:tc>
          <w:tcPr>
            <w:tcW w:type="dxa" w:w="3175"/>
            <w:shd w:val="clear" w:color="auto" w:fill="F3EFE6"/>
          </w:tcPr>
          <w:p>
            <w:pPr>
              <w:spacing w:after="0" w:before="0"/>
            </w:pPr>
            <w:r/>
            <w:r>
              <w:rPr>
                <w:b w:val="0"/>
                <w:i w:val="0"/>
                <w:color w:val="1A1A1A"/>
                <w:sz w:val="18"/>
              </w:rPr>
              <w:t>jährlich</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Kühlregal für Speisen zur Weitergabe</w:t>
            </w:r>
          </w:p>
        </w:tc>
        <w:tc>
          <w:tcPr>
            <w:tcW w:type="dxa" w:w="1474"/>
          </w:tcPr>
          <w:p>
            <w:pPr>
              <w:spacing w:after="0" w:before="0"/>
            </w:pPr>
            <w:r/>
            <w:r>
              <w:rPr>
                <w:b w:val="0"/>
                <w:i w:val="0"/>
                <w:color w:val="1A1A1A"/>
                <w:sz w:val="18"/>
              </w:rPr>
              <w:t>€ 3.800</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Schließsystem für das Hoftor</w:t>
            </w:r>
          </w:p>
        </w:tc>
        <w:tc>
          <w:tcPr>
            <w:tcW w:type="dxa" w:w="1474"/>
            <w:shd w:val="clear" w:color="auto" w:fill="F3EFE6"/>
          </w:tcPr>
          <w:p>
            <w:pPr>
              <w:spacing w:after="0" w:before="0"/>
            </w:pPr>
            <w:r/>
            <w:r>
              <w:rPr>
                <w:b w:val="0"/>
                <w:i w:val="0"/>
                <w:color w:val="1A1A1A"/>
                <w:sz w:val="18"/>
              </w:rPr>
              <w:t>€ 1.900</w:t>
            </w:r>
          </w:p>
        </w:tc>
        <w:tc>
          <w:tcPr>
            <w:tcW w:type="dxa" w:w="3175"/>
            <w:shd w:val="clear" w:color="auto" w:fill="F3EFE6"/>
          </w:tcPr>
          <w:p>
            <w:pPr>
              <w:spacing w:after="0" w:before="0"/>
            </w:pPr>
            <w:r/>
            <w:r>
              <w:rPr>
                <w:b w:val="0"/>
                <w:i w:val="0"/>
                <w:color w:val="1A1A1A"/>
                <w:sz w:val="18"/>
              </w:rPr>
              <w:t>einmalig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Prüfung aller Aussagen auf Website und in Angeboten</w:t>
            </w:r>
          </w:p>
        </w:tc>
        <w:tc>
          <w:tcPr>
            <w:tcW w:type="dxa" w:w="1474"/>
          </w:tcPr>
          <w:p>
            <w:pPr>
              <w:spacing w:after="0" w:before="0"/>
            </w:pPr>
            <w:r/>
            <w:r>
              <w:rPr>
                <w:b w:val="0"/>
                <w:i w:val="0"/>
                <w:color w:val="1A1A1A"/>
                <w:sz w:val="18"/>
              </w:rPr>
              <w:t>16 Stunden</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bl>
    <w:p>
      <w:pPr>
        <w:spacing w:after="40"/>
      </w:pPr>
    </w:p>
    <w:p>
      <w:r>
        <w:rPr>
          <w:b w:val="0"/>
          <w:i w:val="0"/>
        </w:rPr>
        <w:t>Die teuerste Zeile ist die erste, und sie ist ungewiss. Alle übrigen Posten zusammen kosten weniger als ein Zehntel davon. Die Rechnung sagt nicht, dass der Kunde gegangen wäre. Sie sagt, was das Haus für die Sicherheit ausgegeben hätte, damit er bleiben kann.</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Risiken und Chancen bestimmen (6.1.1)</w:t>
            </w:r>
          </w:p>
        </w:tc>
        <w:tc>
          <w:tcPr>
            <w:tcW w:type="dxa" w:w="3175"/>
          </w:tcPr>
          <w:p>
            <w:pPr>
              <w:spacing w:after="0" w:before="0"/>
            </w:pPr>
            <w:r/>
            <w:r>
              <w:rPr>
                <w:b w:val="0"/>
                <w:i w:val="0"/>
                <w:color w:val="1A1A1A"/>
                <w:sz w:val="18"/>
              </w:rPr>
              <w:t>Liste je Art von Veranstaltung, mit Bedingungen</w:t>
            </w:r>
          </w:p>
        </w:tc>
        <w:tc>
          <w:tcPr>
            <w:tcW w:type="dxa" w:w="3175"/>
          </w:tcPr>
          <w:p>
            <w:pPr>
              <w:spacing w:after="0" w:before="0"/>
            </w:pPr>
            <w:r/>
            <w:r>
              <w:rPr>
                <w:b w:val="0"/>
                <w:i w:val="0"/>
                <w:color w:val="1A1A1A"/>
                <w:sz w:val="18"/>
              </w:rPr>
              <w:t>Vorgehen nach ISO 31000 (Anmerkung 1)</w:t>
            </w:r>
          </w:p>
        </w:tc>
      </w:tr>
      <w:tr>
        <w:trPr>
          <w:cantSplit w:val="true"/>
        </w:trPr>
        <w:tc>
          <w:tcPr>
            <w:tcW w:type="dxa" w:w="3288"/>
            <w:shd w:val="clear" w:color="auto" w:fill="F3EFE6"/>
          </w:tcPr>
          <w:p>
            <w:pPr>
              <w:spacing w:after="0" w:before="0"/>
            </w:pPr>
            <w:r/>
            <w:r>
              <w:rPr>
                <w:b w:val="0"/>
                <w:i w:val="0"/>
                <w:color w:val="1A1A1A"/>
                <w:sz w:val="18"/>
              </w:rPr>
              <w:t>Maßnahmen planen, einbinden, auf Wirksamkeit bewerten (6.1.1)</w:t>
            </w:r>
          </w:p>
        </w:tc>
        <w:tc>
          <w:tcPr>
            <w:tcW w:type="dxa" w:w="3175"/>
            <w:shd w:val="clear" w:color="auto" w:fill="F3EFE6"/>
          </w:tcPr>
          <w:p>
            <w:pPr>
              <w:spacing w:after="0" w:before="0"/>
            </w:pPr>
            <w:r/>
            <w:r>
              <w:rPr>
                <w:b w:val="0"/>
                <w:i w:val="0"/>
                <w:color w:val="1A1A1A"/>
                <w:sz w:val="18"/>
              </w:rPr>
              <w:t>Restmengenweg im Bankettauftrag, auch für Wochenenden</w:t>
            </w:r>
          </w:p>
        </w:tc>
        <w:tc>
          <w:tcPr>
            <w:tcW w:type="dxa" w:w="3175"/>
            <w:shd w:val="clear" w:color="auto" w:fill="F3EFE6"/>
          </w:tcPr>
          <w:p>
            <w:pPr>
              <w:spacing w:after="0" w:before="0"/>
            </w:pPr>
            <w:r/>
            <w:r>
              <w:rPr>
                <w:b w:val="0"/>
                <w:i w:val="0"/>
                <w:color w:val="1A1A1A"/>
                <w:sz w:val="18"/>
              </w:rPr>
              <w:t>Methode: Nachtbuch mit Weiterleitung</w:t>
            </w:r>
          </w:p>
        </w:tc>
      </w:tr>
      <w:tr>
        <w:trPr>
          <w:cantSplit w:val="true"/>
        </w:trPr>
        <w:tc>
          <w:tcPr>
            <w:tcW w:type="dxa" w:w="3288"/>
          </w:tcPr>
          <w:p>
            <w:pPr>
              <w:spacing w:after="0" w:before="0"/>
            </w:pPr>
            <w:r/>
            <w:r>
              <w:rPr>
                <w:b w:val="0"/>
                <w:i w:val="0"/>
                <w:color w:val="1A1A1A"/>
                <w:sz w:val="18"/>
              </w:rPr>
              <w:t>Themen und Bedeutung mit dokumentierten Kriterien (6.1.2)</w:t>
            </w:r>
          </w:p>
        </w:tc>
        <w:tc>
          <w:tcPr>
            <w:tcW w:type="dxa" w:w="3175"/>
          </w:tcPr>
          <w:p>
            <w:pPr>
              <w:spacing w:after="0" w:before="0"/>
            </w:pPr>
            <w:r/>
            <w:r>
              <w:rPr>
                <w:b w:val="0"/>
                <w:i w:val="0"/>
                <w:color w:val="1A1A1A"/>
                <w:sz w:val="18"/>
              </w:rPr>
              <w:t>Bewertung Speisen und Getränke, mit Rückmeldungen</w:t>
            </w:r>
          </w:p>
        </w:tc>
        <w:tc>
          <w:tcPr>
            <w:tcW w:type="dxa" w:w="3175"/>
          </w:tcPr>
          <w:p>
            <w:pPr>
              <w:spacing w:after="0" w:before="0"/>
            </w:pPr>
            <w:r/>
            <w:r>
              <w:rPr>
                <w:b w:val="0"/>
                <w:i w:val="0"/>
                <w:color w:val="1A1A1A"/>
                <w:sz w:val="18"/>
              </w:rPr>
              <w:t>Tabelle C.1</w:t>
            </w:r>
          </w:p>
        </w:tc>
      </w:tr>
      <w:tr>
        <w:trPr>
          <w:cantSplit w:val="true"/>
        </w:trPr>
        <w:tc>
          <w:tcPr>
            <w:tcW w:type="dxa" w:w="3288"/>
            <w:shd w:val="clear" w:color="auto" w:fill="F3EFE6"/>
          </w:tcPr>
          <w:p>
            <w:pPr>
              <w:spacing w:after="0" w:before="0"/>
            </w:pPr>
            <w:r/>
            <w:r>
              <w:rPr>
                <w:b w:val="0"/>
                <w:i w:val="0"/>
                <w:color w:val="1A1A1A"/>
                <w:sz w:val="18"/>
              </w:rPr>
              <w:t>Keine irreführende Kommunikation (7.4)</w:t>
            </w:r>
          </w:p>
        </w:tc>
        <w:tc>
          <w:tcPr>
            <w:tcW w:type="dxa" w:w="3175"/>
            <w:shd w:val="clear" w:color="auto" w:fill="F3EFE6"/>
          </w:tcPr>
          <w:p>
            <w:pPr>
              <w:spacing w:after="0" w:before="0"/>
            </w:pPr>
            <w:r/>
            <w:r>
              <w:rPr>
                <w:b w:val="0"/>
                <w:i w:val="0"/>
                <w:color w:val="1A1A1A"/>
                <w:sz w:val="18"/>
              </w:rPr>
              <w:t>Freigabe jeder Aussage gegen Belege</w:t>
            </w:r>
          </w:p>
        </w:tc>
        <w:tc>
          <w:tcPr>
            <w:tcW w:type="dxa" w:w="3175"/>
            <w:shd w:val="clear" w:color="auto" w:fill="F3EFE6"/>
          </w:tcPr>
          <w:p>
            <w:pPr>
              <w:spacing w:after="0" w:before="0"/>
            </w:pPr>
            <w:r/>
            <w:r>
              <w:rPr>
                <w:b w:val="0"/>
                <w:i w:val="0"/>
                <w:color w:val="1A1A1A"/>
                <w:sz w:val="18"/>
              </w:rPr>
              <w:t>Inhalt eines Berichts (C.3)</w:t>
            </w:r>
          </w:p>
        </w:tc>
      </w:tr>
      <w:tr>
        <w:trPr>
          <w:cantSplit w:val="true"/>
        </w:trPr>
        <w:tc>
          <w:tcPr>
            <w:tcW w:type="dxa" w:w="3288"/>
          </w:tcPr>
          <w:p>
            <w:pPr>
              <w:spacing w:after="0" w:before="0"/>
            </w:pPr>
            <w:r/>
            <w:r>
              <w:rPr>
                <w:b w:val="0"/>
                <w:i w:val="0"/>
                <w:color w:val="1A1A1A"/>
                <w:sz w:val="18"/>
              </w:rPr>
              <w:t>Prozesse bei Änderungen anpassen, Lehren an die Managementbewertung (8.2)</w:t>
            </w:r>
          </w:p>
        </w:tc>
        <w:tc>
          <w:tcPr>
            <w:tcW w:type="dxa" w:w="3175"/>
          </w:tcPr>
          <w:p>
            <w:pPr>
              <w:spacing w:after="0" w:before="0"/>
            </w:pPr>
            <w:r/>
            <w:r>
              <w:rPr>
                <w:b w:val="0"/>
                <w:i w:val="0"/>
                <w:color w:val="1A1A1A"/>
                <w:sz w:val="18"/>
              </w:rPr>
              <w:t>Änderungsvermerk bei Gästezahl, mit Weitergabe an die Küche</w:t>
            </w:r>
          </w:p>
        </w:tc>
        <w:tc>
          <w:tcPr>
            <w:tcW w:type="dxa" w:w="3175"/>
          </w:tcPr>
          <w:p>
            <w:pPr>
              <w:spacing w:after="0" w:before="0"/>
            </w:pPr>
            <w:r/>
            <w:r>
              <w:rPr>
                <w:b w:val="0"/>
                <w:i w:val="0"/>
                <w:color w:val="1A1A1A"/>
                <w:sz w:val="18"/>
              </w:rPr>
              <w:t>Prozesse nach Vorfällen prüfen (A.17)</w:t>
            </w:r>
          </w:p>
        </w:tc>
      </w:tr>
    </w:tbl>
    <w:p>
      <w:pPr>
        <w:spacing w:after="40"/>
      </w:pPr>
    </w:p>
    <w:p>
      <w:pPr>
        <w:pStyle w:val="Heading2"/>
      </w:pPr>
      <w:r>
        <w:t>DACH-Anker: Aussage und Speisereste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Umweltaussagen</w:t>
            </w:r>
          </w:p>
        </w:tc>
        <w:tc>
          <w:tcPr>
            <w:tcW w:type="dxa" w:w="2721"/>
          </w:tcPr>
          <w:p>
            <w:pPr>
              <w:spacing w:after="0" w:before="0"/>
            </w:pPr>
            <w:r/>
            <w:r>
              <w:rPr>
                <w:b w:val="0"/>
                <w:i w:val="0"/>
                <w:color w:val="1A1A1A"/>
                <w:sz w:val="17"/>
              </w:rPr>
              <w:t>UWG, neue Regeln gegenüber Verbrauchern ab 27. September 2026</w:t>
            </w:r>
          </w:p>
        </w:tc>
        <w:tc>
          <w:tcPr>
            <w:tcW w:type="dxa" w:w="2721"/>
          </w:tcPr>
          <w:p>
            <w:pPr>
              <w:spacing w:after="0" w:before="0"/>
            </w:pPr>
            <w:r/>
            <w:r>
              <w:rPr>
                <w:b w:val="0"/>
                <w:i w:val="0"/>
                <w:color w:val="1A1A1A"/>
                <w:sz w:val="17"/>
              </w:rPr>
              <w:t>UWG-Novelle BGBl. I Nr. 58/2026, gegenüber Verbrauchern ab 27. September 2026</w:t>
            </w:r>
          </w:p>
        </w:tc>
        <w:tc>
          <w:tcPr>
            <w:tcW w:type="dxa" w:w="2721"/>
          </w:tcPr>
          <w:p>
            <w:pPr>
              <w:spacing w:after="0" w:before="0"/>
            </w:pPr>
            <w:r/>
            <w:r>
              <w:rPr>
                <w:b w:val="0"/>
                <w:i w:val="0"/>
                <w:color w:val="1A1A1A"/>
                <w:sz w:val="17"/>
              </w:rPr>
              <w:t>Art. 3 Abs. 1 lit. x UWG seit 1. Januar 2025; sonst lit. b (irreführende Angaben)</w:t>
            </w:r>
          </w:p>
        </w:tc>
      </w:tr>
      <w:tr>
        <w:trPr>
          <w:cantSplit w:val="true"/>
        </w:trPr>
        <w:tc>
          <w:tcPr>
            <w:tcW w:type="dxa" w:w="1474"/>
            <w:shd w:val="clear" w:color="auto" w:fill="F3EFE6"/>
          </w:tcPr>
          <w:p>
            <w:pPr>
              <w:spacing w:after="0" w:before="0"/>
            </w:pPr>
            <w:r/>
            <w:r>
              <w:rPr>
                <w:b w:val="0"/>
                <w:i w:val="0"/>
                <w:color w:val="1A1A1A"/>
                <w:sz w:val="17"/>
              </w:rPr>
              <w:t>Ziel für Lebensmittelabfälle</w:t>
            </w:r>
          </w:p>
        </w:tc>
        <w:tc>
          <w:tcPr>
            <w:tcW w:type="dxa" w:w="2721"/>
            <w:shd w:val="clear" w:color="auto" w:fill="F3EFE6"/>
          </w:tcPr>
          <w:p>
            <w:pPr>
              <w:spacing w:after="0" w:before="0"/>
            </w:pPr>
            <w:r/>
            <w:r>
              <w:rPr>
                <w:b w:val="0"/>
                <w:i w:val="0"/>
                <w:color w:val="1A1A1A"/>
                <w:sz w:val="17"/>
              </w:rPr>
              <w:t>Richtlinie (EU) 2025/1892: minus 30 % je Kopf bis Ende 2030 gegenüber 2021–2023, auch Gaststätten und Verpflegung</w:t>
            </w:r>
          </w:p>
        </w:tc>
        <w:tc>
          <w:tcPr>
            <w:tcW w:type="dxa" w:w="2721"/>
            <w:shd w:val="clear" w:color="auto" w:fill="F3EFE6"/>
          </w:tcPr>
          <w:p>
            <w:pPr>
              <w:spacing w:after="0" w:before="0"/>
            </w:pPr>
            <w:r/>
            <w:r>
              <w:rPr>
                <w:b w:val="0"/>
                <w:i w:val="0"/>
                <w:color w:val="1A1A1A"/>
                <w:sz w:val="17"/>
              </w:rPr>
              <w:t>wie Deutschland</w:t>
            </w:r>
          </w:p>
        </w:tc>
        <w:tc>
          <w:tcPr>
            <w:tcW w:type="dxa" w:w="2721"/>
            <w:shd w:val="clear" w:color="auto" w:fill="F3EFE6"/>
          </w:tcPr>
          <w:p>
            <w:pPr>
              <w:spacing w:after="0" w:before="0"/>
            </w:pPr>
            <w:r/>
            <w:r>
              <w:rPr>
                <w:b w:val="0"/>
                <w:i w:val="0"/>
                <w:color w:val="1A1A1A"/>
                <w:sz w:val="17"/>
              </w:rPr>
              <w:t>Aktionsplan des Bundesrats vom 6. April 2022: Halbierung bis 2030 gegenüber 2017</w:t>
            </w:r>
          </w:p>
        </w:tc>
      </w:tr>
      <w:tr>
        <w:trPr>
          <w:cantSplit w:val="true"/>
        </w:trPr>
        <w:tc>
          <w:tcPr>
            <w:tcW w:type="dxa" w:w="1474"/>
          </w:tcPr>
          <w:p>
            <w:pPr>
              <w:spacing w:after="0" w:before="0"/>
            </w:pPr>
            <w:r/>
            <w:r>
              <w:rPr>
                <w:b w:val="0"/>
                <w:i w:val="0"/>
                <w:color w:val="1A1A1A"/>
                <w:sz w:val="17"/>
              </w:rPr>
              <w:t>Umsetzung</w:t>
            </w:r>
          </w:p>
        </w:tc>
        <w:tc>
          <w:tcPr>
            <w:tcW w:type="dxa" w:w="2721"/>
          </w:tcPr>
          <w:p>
            <w:pPr>
              <w:spacing w:after="0" w:before="0"/>
            </w:pPr>
            <w:r/>
            <w:r>
              <w:rPr>
                <w:b w:val="0"/>
                <w:i w:val="0"/>
                <w:color w:val="1A1A1A"/>
                <w:sz w:val="17"/>
              </w:rPr>
              <w:t>in nationales Recht bis 17. Juni 2027</w:t>
            </w:r>
          </w:p>
        </w:tc>
        <w:tc>
          <w:tcPr>
            <w:tcW w:type="dxa" w:w="2721"/>
          </w:tcPr>
          <w:p>
            <w:pPr>
              <w:spacing w:after="0" w:before="0"/>
            </w:pPr>
            <w:r/>
            <w:r>
              <w:rPr>
                <w:b w:val="0"/>
                <w:i w:val="0"/>
                <w:color w:val="1A1A1A"/>
                <w:sz w:val="17"/>
              </w:rPr>
              <w:t>in nationales Recht bis 17. Juni 2027</w:t>
            </w:r>
          </w:p>
        </w:tc>
        <w:tc>
          <w:tcPr>
            <w:tcW w:type="dxa" w:w="2721"/>
          </w:tcPr>
          <w:p>
            <w:pPr>
              <w:spacing w:after="0" w:before="0"/>
            </w:pPr>
            <w:r/>
            <w:r>
              <w:rPr>
                <w:b w:val="0"/>
                <w:i w:val="0"/>
                <w:color w:val="1A1A1A"/>
                <w:sz w:val="17"/>
              </w:rPr>
              <w:t>kein Unionsrecht</w:t>
            </w:r>
          </w:p>
        </w:tc>
      </w:tr>
      <w:tr>
        <w:trPr>
          <w:cantSplit w:val="true"/>
        </w:trPr>
        <w:tc>
          <w:tcPr>
            <w:tcW w:type="dxa" w:w="1474"/>
            <w:shd w:val="clear" w:color="auto" w:fill="F3EFE6"/>
          </w:tcPr>
          <w:p>
            <w:pPr>
              <w:spacing w:after="0" w:before="0"/>
            </w:pPr>
            <w:r/>
            <w:r>
              <w:rPr>
                <w:b w:val="0"/>
                <w:i w:val="0"/>
                <w:color w:val="1A1A1A"/>
                <w:sz w:val="17"/>
              </w:rPr>
              <w:t>Nationales Programm</w:t>
            </w:r>
          </w:p>
        </w:tc>
        <w:tc>
          <w:tcPr>
            <w:tcW w:type="dxa" w:w="2721"/>
            <w:shd w:val="clear" w:color="auto" w:fill="F3EFE6"/>
          </w:tcPr>
          <w:p>
            <w:pPr>
              <w:spacing w:after="0" w:before="0"/>
            </w:pPr>
            <w:r/>
            <w:r>
              <w:rPr>
                <w:b w:val="0"/>
                <w:i w:val="0"/>
                <w:color w:val="1A1A1A"/>
                <w:sz w:val="17"/>
              </w:rPr>
              <w:t>Nationale Strategie zur Reduzierung der Lebensmittelverschwendung (2019), mit Zielvereinbarungen für die Außer-Haus-Verpflegung</w:t>
            </w:r>
          </w:p>
        </w:tc>
        <w:tc>
          <w:tcPr>
            <w:tcW w:type="dxa" w:w="2721"/>
            <w:shd w:val="clear" w:color="auto" w:fill="F3EFE6"/>
          </w:tcPr>
          <w:p>
            <w:pPr>
              <w:spacing w:after="0" w:before="0"/>
            </w:pPr>
            <w:r/>
            <w:r>
              <w:rPr>
                <w:b w:val="0"/>
                <w:i w:val="0"/>
                <w:color w:val="1A1A1A"/>
                <w:sz w:val="17"/>
              </w:rPr>
              <w:t>nicht Gegenstand dieses Abschnitts</w:t>
            </w:r>
          </w:p>
        </w:tc>
        <w:tc>
          <w:tcPr>
            <w:tcW w:type="dxa" w:w="2721"/>
            <w:shd w:val="clear" w:color="auto" w:fill="F3EFE6"/>
          </w:tcPr>
          <w:p>
            <w:pPr>
              <w:spacing w:after="0" w:before="0"/>
            </w:pPr>
            <w:r/>
            <w:r>
              <w:rPr>
                <w:b w:val="0"/>
                <w:i w:val="0"/>
                <w:color w:val="1A1A1A"/>
                <w:sz w:val="17"/>
              </w:rPr>
              <w:t>branchenübergreifende Vereinbarung im Aktionsplan angekündigt</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1.6.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1.6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1.6 — Das Reputationsrisiko einer Veranstaltung beherrschen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