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8C5A2B"/>
          <w:sz w:val="18"/>
        </w:rPr>
        <w:t>ARBEITSMATERIAL 1.7</w:t>
      </w:r>
    </w:p>
    <w:p>
      <w:pPr>
        <w:pStyle w:val="Heading1"/>
      </w:pPr>
      <w:r>
        <w:t>Eine Entscheidungsordnung für heikle Anlässe</w:t>
      </w:r>
    </w:p>
    <w:p>
      <w:pPr>
        <w:spacing w:after="0"/>
      </w:pPr>
      <w:r>
        <w:rPr>
          <w:b w:val="0"/>
          <w:i/>
          <w:color w:val="5A5A5A"/>
        </w:rPr>
        <w:t>Abschnitt 1.7 · Governance: die vier Leitprinzipien und wer entscheidet</w:t>
      </w:r>
    </w:p>
    <w:p>
      <w:pPr>
        <w:spacing w:after="160"/>
      </w:pPr>
      <w:r>
        <w:rPr>
          <w:b w:val="0"/>
          <w:i w:val="0"/>
          <w:color w:val="5A5A5A"/>
          <w:sz w:val="18"/>
        </w:rPr>
        <w:t>Modellfall im Buch: St. Gallen</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color="auto" w:fill="EFE7DC"/>
          </w:tcPr>
          <w:p>
            <w:r/>
            <w:r>
              <w:rPr>
                <w:b/>
                <w:color w:val="8C5A2B"/>
                <w:sz w:val="18"/>
              </w:rPr>
              <w:t>LEITFRAGE</w:t>
              <w:br/>
            </w:r>
            <w:r>
              <w:rPr>
                <w:sz w:val="21"/>
              </w:rPr>
              <w:t>Wenn morgen ein Angebot auf dem Tisch liegt, das viel Geld bringt und nicht zu dem passt, was Ihr Haus über sich sagt: Wer in Ihrem Haus sagt nein, und nach welchem Satz? Und erfährt der Verwaltungsrat davon, bevor er es in der Zeitung liest?</w:t>
            </w:r>
          </w:p>
        </w:tc>
      </w:tr>
    </w:tbl>
    <w:p>
      <w:pPr>
        <w:spacing w:after="0"/>
      </w:pPr>
    </w:p>
    <w:p>
      <w:r>
        <w:rPr>
          <w:sz w:val="18"/>
        </w:rPr>
        <w:t>Dieses Blatt gibt das Arbeitsmaterial des Abschnitts in bearbeitbarer Form wieder. Die Texte stammen aus dem Buch; die leeren Spalten sind für die Angaben des eigenen Hauses bestimmt.</w:t>
      </w:r>
    </w:p>
    <w:p>
      <w:pPr>
        <w:pStyle w:val="Heading2"/>
      </w:pPr>
      <w:r>
        <w:t>Das Werkzeug: Vier Prinzipien und ein Sponsor als Fragen</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13"/>
        <w:gridCol w:w="3213"/>
        <w:gridCol w:w="3213"/>
      </w:tblGrid>
      <w:tr>
        <w:trPr>
          <w:cantSplit w:val="true"/>
          <w:tblHeader w:val="true"/>
        </w:trPr>
        <w:tc>
          <w:tcPr>
            <w:tcW w:type="dxa" w:w="3213"/>
            <w:shd w:val="clear" w:color="auto" w:fill="8C5A2B"/>
          </w:tcPr>
          <w:p>
            <w:pPr>
              <w:spacing w:after="0" w:before="0"/>
            </w:pPr>
            <w:r/>
            <w:r>
              <w:rPr>
                <w:b/>
                <w:i w:val="0"/>
                <w:color w:val="FFFFFF"/>
                <w:sz w:val="18"/>
              </w:rPr>
              <w:t>Prinzip</w:t>
            </w:r>
          </w:p>
        </w:tc>
        <w:tc>
          <w:tcPr>
            <w:tcW w:type="dxa" w:w="3213"/>
            <w:shd w:val="clear" w:color="auto" w:fill="8C5A2B"/>
          </w:tcPr>
          <w:p>
            <w:pPr>
              <w:spacing w:after="0" w:before="0"/>
            </w:pPr>
            <w:r/>
            <w:r>
              <w:rPr>
                <w:b/>
                <w:i w:val="0"/>
                <w:color w:val="FFFFFF"/>
                <w:sz w:val="18"/>
              </w:rPr>
              <w:t>Frage an die Anfrage</w:t>
            </w:r>
          </w:p>
        </w:tc>
        <w:tc>
          <w:tcPr>
            <w:tcW w:type="dxa" w:w="3213"/>
            <w:shd w:val="clear" w:color="auto" w:fill="8C5A2B"/>
          </w:tcPr>
          <w:p>
            <w:pPr>
              <w:spacing w:after="0" w:before="0"/>
            </w:pPr>
            <w:r/>
            <w:r>
              <w:rPr>
                <w:b/>
                <w:i w:val="0"/>
                <w:color w:val="FFFFFF"/>
                <w:sz w:val="18"/>
              </w:rPr>
              <w:t>Im Fall St. Gallen</w:t>
            </w:r>
          </w:p>
        </w:tc>
      </w:tr>
      <w:tr>
        <w:trPr>
          <w:cantSplit w:val="true"/>
        </w:trPr>
        <w:tc>
          <w:tcPr>
            <w:tcW w:type="dxa" w:w="3213"/>
          </w:tcPr>
          <w:p>
            <w:pPr>
              <w:spacing w:after="0" w:before="0"/>
            </w:pPr>
            <w:r/>
            <w:r>
              <w:rPr>
                <w:b w:val="0"/>
                <w:i w:val="0"/>
                <w:color w:val="1A1A1A"/>
                <w:sz w:val="18"/>
              </w:rPr>
              <w:t>Verantwortung</w:t>
            </w:r>
          </w:p>
        </w:tc>
        <w:tc>
          <w:tcPr>
            <w:tcW w:type="dxa" w:w="3213"/>
          </w:tcPr>
          <w:p>
            <w:pPr>
              <w:spacing w:after="0" w:before="0"/>
            </w:pPr>
            <w:r/>
            <w:r>
              <w:rPr>
                <w:b w:val="0"/>
                <w:i w:val="0"/>
                <w:color w:val="1A1A1A"/>
                <w:sz w:val="18"/>
              </w:rPr>
              <w:t>Welche erheblichen Folgen hat der Anlass, und gibt es eine bessere Variante?</w:t>
            </w:r>
          </w:p>
        </w:tc>
        <w:tc>
          <w:tcPr>
            <w:tcW w:type="dxa" w:w="3213"/>
          </w:tcPr>
          <w:p>
            <w:pPr>
              <w:spacing w:after="0" w:before="0"/>
            </w:pPr>
            <w:r/>
            <w:r>
              <w:rPr>
                <w:b w:val="0"/>
                <w:i w:val="0"/>
                <w:color w:val="1A1A1A"/>
                <w:sz w:val="18"/>
              </w:rPr>
              <w:t>Helikopterlandungen, Variante: Shuttle vom Flugplatz</w:t>
            </w:r>
          </w:p>
        </w:tc>
      </w:tr>
      <w:tr>
        <w:trPr>
          <w:cantSplit w:val="true"/>
        </w:trPr>
        <w:tc>
          <w:tcPr>
            <w:tcW w:type="dxa" w:w="3213"/>
            <w:shd w:val="clear" w:color="auto" w:fill="F3EFE6"/>
          </w:tcPr>
          <w:p>
            <w:pPr>
              <w:spacing w:after="0" w:before="0"/>
            </w:pPr>
            <w:r/>
            <w:r>
              <w:rPr>
                <w:b w:val="0"/>
                <w:i w:val="0"/>
                <w:color w:val="1A1A1A"/>
                <w:sz w:val="18"/>
              </w:rPr>
              <w:t>Inklusion</w:t>
            </w:r>
          </w:p>
        </w:tc>
        <w:tc>
          <w:tcPr>
            <w:tcW w:type="dxa" w:w="3213"/>
            <w:shd w:val="clear" w:color="auto" w:fill="F3EFE6"/>
          </w:tcPr>
          <w:p>
            <w:pPr>
              <w:spacing w:after="0" w:before="0"/>
            </w:pPr>
            <w:r/>
            <w:r>
              <w:rPr>
                <w:b w:val="0"/>
                <w:i w:val="0"/>
                <w:color w:val="1A1A1A"/>
                <w:sz w:val="18"/>
              </w:rPr>
              <w:t>Wer ist betroffen und weiss davon?</w:t>
            </w:r>
          </w:p>
        </w:tc>
        <w:tc>
          <w:tcPr>
            <w:tcW w:type="dxa" w:w="3213"/>
            <w:shd w:val="clear" w:color="auto" w:fill="F3EFE6"/>
          </w:tcPr>
          <w:p>
            <w:pPr>
              <w:spacing w:after="0" w:before="0"/>
            </w:pPr>
            <w:r/>
            <w:r>
              <w:rPr>
                <w:b w:val="0"/>
                <w:i w:val="0"/>
                <w:color w:val="1A1A1A"/>
                <w:sz w:val="18"/>
              </w:rPr>
              <w:t>Anwohner der Wohnstrasse, nicht gefragt</w:t>
            </w:r>
          </w:p>
        </w:tc>
      </w:tr>
      <w:tr>
        <w:trPr>
          <w:cantSplit w:val="true"/>
        </w:trPr>
        <w:tc>
          <w:tcPr>
            <w:tcW w:type="dxa" w:w="3213"/>
          </w:tcPr>
          <w:p>
            <w:pPr>
              <w:spacing w:after="0" w:before="0"/>
            </w:pPr>
            <w:r/>
            <w:r>
              <w:rPr>
                <w:b w:val="0"/>
                <w:i w:val="0"/>
                <w:color w:val="1A1A1A"/>
                <w:sz w:val="18"/>
              </w:rPr>
              <w:t>Integrität</w:t>
            </w:r>
          </w:p>
        </w:tc>
        <w:tc>
          <w:tcPr>
            <w:tcW w:type="dxa" w:w="3213"/>
          </w:tcPr>
          <w:p>
            <w:pPr>
              <w:spacing w:after="0" w:before="0"/>
            </w:pPr>
            <w:r/>
            <w:r>
              <w:rPr>
                <w:b w:val="0"/>
                <w:i w:val="0"/>
                <w:color w:val="1A1A1A"/>
                <w:sz w:val="18"/>
              </w:rPr>
              <w:t>Welche negative Wirkung tragen wir mit, und wer hat ein eigenes Interesse?</w:t>
            </w:r>
          </w:p>
        </w:tc>
        <w:tc>
          <w:tcPr>
            <w:tcW w:type="dxa" w:w="3213"/>
          </w:tcPr>
          <w:p>
            <w:pPr>
              <w:spacing w:after="0" w:before="0"/>
            </w:pPr>
            <w:r/>
            <w:r>
              <w:rPr>
                <w:b w:val="0"/>
                <w:i w:val="0"/>
                <w:color w:val="1A1A1A"/>
                <w:sz w:val="18"/>
              </w:rPr>
              <w:t>Klimaaussage unter unserem Namen; Budget der Verkaufsleiterin</w:t>
            </w:r>
          </w:p>
        </w:tc>
      </w:tr>
      <w:tr>
        <w:trPr>
          <w:cantSplit w:val="true"/>
        </w:trPr>
        <w:tc>
          <w:tcPr>
            <w:tcW w:type="dxa" w:w="3213"/>
            <w:shd w:val="clear" w:color="auto" w:fill="F3EFE6"/>
          </w:tcPr>
          <w:p>
            <w:pPr>
              <w:spacing w:after="0" w:before="0"/>
            </w:pPr>
            <w:r/>
            <w:r>
              <w:rPr>
                <w:b w:val="0"/>
                <w:i w:val="0"/>
                <w:color w:val="1A1A1A"/>
                <w:sz w:val="18"/>
              </w:rPr>
              <w:t>Transparenz</w:t>
            </w:r>
          </w:p>
        </w:tc>
        <w:tc>
          <w:tcPr>
            <w:tcW w:type="dxa" w:w="3213"/>
            <w:shd w:val="clear" w:color="auto" w:fill="F3EFE6"/>
          </w:tcPr>
          <w:p>
            <w:pPr>
              <w:spacing w:after="0" w:before="0"/>
            </w:pPr>
            <w:r/>
            <w:r>
              <w:rPr>
                <w:b w:val="0"/>
                <w:i w:val="0"/>
                <w:color w:val="1A1A1A"/>
                <w:sz w:val="18"/>
              </w:rPr>
              <w:t>Können wir sagen, wer entschieden hat, warum und wer profitiert?</w:t>
            </w:r>
          </w:p>
        </w:tc>
        <w:tc>
          <w:tcPr>
            <w:tcW w:type="dxa" w:w="3213"/>
            <w:shd w:val="clear" w:color="auto" w:fill="F3EFE6"/>
          </w:tcPr>
          <w:p>
            <w:pPr>
              <w:spacing w:after="0" w:before="0"/>
            </w:pPr>
            <w:r/>
            <w:r>
              <w:rPr>
                <w:b w:val="0"/>
                <w:i w:val="0"/>
                <w:color w:val="1A1A1A"/>
                <w:sz w:val="18"/>
              </w:rPr>
              <w:t>bis Donnerstagabend nein</w:t>
            </w:r>
          </w:p>
        </w:tc>
      </w:tr>
      <w:tr>
        <w:trPr>
          <w:cantSplit w:val="true"/>
        </w:trPr>
        <w:tc>
          <w:tcPr>
            <w:tcW w:type="dxa" w:w="3213"/>
          </w:tcPr>
          <w:p>
            <w:pPr>
              <w:spacing w:after="0" w:before="0"/>
            </w:pPr>
            <w:r/>
            <w:r>
              <w:rPr>
                <w:b w:val="0"/>
                <w:i w:val="0"/>
                <w:color w:val="1A1A1A"/>
                <w:sz w:val="18"/>
              </w:rPr>
              <w:t>Sponsor als Lieferant</w:t>
            </w:r>
          </w:p>
        </w:tc>
        <w:tc>
          <w:tcPr>
            <w:tcW w:type="dxa" w:w="3213"/>
          </w:tcPr>
          <w:p>
            <w:pPr>
              <w:spacing w:after="0" w:before="0"/>
            </w:pPr>
            <w:r/>
            <w:r>
              <w:rPr>
                <w:b w:val="0"/>
                <w:i w:val="0"/>
                <w:color w:val="1A1A1A"/>
                <w:sz w:val="18"/>
              </w:rPr>
              <w:t>Passen Werbung und Produkt zu unseren Grundsätzen?</w:t>
            </w:r>
          </w:p>
        </w:tc>
        <w:tc>
          <w:tcPr>
            <w:tcW w:type="dxa" w:w="3213"/>
          </w:tcPr>
          <w:p>
            <w:pPr>
              <w:spacing w:after="0" w:before="0"/>
            </w:pPr>
            <w:r/>
            <w:r>
              <w:rPr>
                <w:b w:val="0"/>
                <w:i w:val="0"/>
                <w:color w:val="1A1A1A"/>
                <w:sz w:val="18"/>
              </w:rPr>
              <w:t>Lounge ja, Klimaaussage nein</w:t>
            </w:r>
          </w:p>
        </w:tc>
      </w:tr>
    </w:tbl>
    <w:p>
      <w:pPr>
        <w:spacing w:after="40"/>
      </w:pPr>
    </w:p>
    <w:p>
      <w:pPr>
        <w:pStyle w:val="Heading2"/>
      </w:pPr>
      <w:r>
        <w:t>Praktische Anwendung: eine Entscheidungsordnung für heikle Anlässe in sieben Schritten</w:t>
      </w:r>
    </w:p>
    <w:p>
      <w:pPr>
        <w:tabs>
          <w:tab w:pos="340" w:val="left"/>
        </w:tabs>
        <w:ind w:left="340" w:hanging="340"/>
      </w:pPr>
      <w:r>
        <w:rPr>
          <w:b/>
          <w:color w:val="8C5A2B"/>
        </w:rPr>
        <w:t>1.</w:t>
        <w:tab/>
      </w:r>
      <w:r>
        <w:rPr>
          <w:b/>
        </w:rPr>
        <w:t>Das Leitbild in Fragen übersetzen.</w:t>
      </w:r>
      <w:r>
        <w:t xml:space="preserve"> Je Prinzip eine Frage, die eine Anfrage beantworten kann, nach dem Muster der Tabelle 2. Die Fragen beschliesst der Verwaltungsrat, nicht die Direktion allein.</w:t>
      </w:r>
    </w:p>
    <w:p>
      <w:pPr>
        <w:tabs>
          <w:tab w:pos="340" w:val="left"/>
        </w:tabs>
        <w:ind w:left="340" w:hanging="340"/>
      </w:pPr>
      <w:r>
        <w:rPr>
          <w:b/>
          <w:color w:val="8C5A2B"/>
        </w:rPr>
        <w:t>2.</w:t>
        <w:tab/>
      </w:r>
      <w:r>
        <w:rPr>
          <w:b/>
        </w:rPr>
        <w:t>Die Fälle festlegen, die nach oben gehen.</w:t>
      </w:r>
      <w:r>
        <w:t xml:space="preserve"> Etwa: Sponsoren mit eigener Werbung im Haus, Aussagen über Umwelt oder Klima unter dem Namen des Hauses, Anlässe mit Wirkung auf Anwohner, Kunden mit öffentlicher Kritik. Was darunter liegt, prüft der Verkauf mit der Liste.</w:t>
      </w:r>
    </w:p>
    <w:p>
      <w:pPr>
        <w:tabs>
          <w:tab w:pos="340" w:val="left"/>
        </w:tabs>
        <w:ind w:left="340" w:hanging="340"/>
      </w:pPr>
      <w:r>
        <w:rPr>
          <w:b/>
          <w:color w:val="8C5A2B"/>
        </w:rPr>
        <w:t>3.</w:t>
        <w:tab/>
      </w:r>
      <w:r>
        <w:rPr>
          <w:b/>
        </w:rPr>
        <w:t>Zuständigkeiten aufschreiben.</w:t>
      </w:r>
      <w:r>
        <w:t xml:space="preserve"> Verkauf prüft und meldet, Direktion entscheidet und begründet, Verwaltungsrat setzt die Regeln und wird unterrichtet. Das gehört in das Organisationsreglement oder in einen Beschluss.</w:t>
      </w:r>
    </w:p>
    <w:p>
      <w:pPr>
        <w:tabs>
          <w:tab w:pos="340" w:val="left"/>
        </w:tabs>
        <w:ind w:left="340" w:hanging="340"/>
      </w:pPr>
      <w:r>
        <w:rPr>
          <w:b/>
          <w:color w:val="8C5A2B"/>
        </w:rPr>
        <w:t>4.</w:t>
        <w:tab/>
      </w:r>
      <w:r>
        <w:rPr>
          <w:b/>
        </w:rPr>
        <w:t>Sponsoren wie Lieferanten behandeln.</w:t>
      </w:r>
      <w:r>
        <w:t xml:space="preserve"> Vor dem Vertrag: Was zeigt der Sponsor, was verteilt er, was sagt er? Eine Klausel im Vertrag, dass Werbung im Haus den Grundsätzen entsprechen muss (2.8).</w:t>
      </w:r>
    </w:p>
    <w:p>
      <w:pPr>
        <w:tabs>
          <w:tab w:pos="340" w:val="left"/>
        </w:tabs>
        <w:ind w:left="340" w:hanging="340"/>
      </w:pPr>
      <w:r>
        <w:rPr>
          <w:b/>
          <w:color w:val="8C5A2B"/>
        </w:rPr>
        <w:t>5.</w:t>
        <w:tab/>
      </w:r>
      <w:r>
        <w:rPr>
          <w:b/>
        </w:rPr>
        <w:t>Eigene Interessen offenlegen.</w:t>
      </w:r>
      <w:r>
        <w:t xml:space="preserve"> Wer an einer Buchung verdient, prüft sie nicht allein. Die Verkaufsleitung meldet, die Direktion entscheidet.</w:t>
      </w:r>
    </w:p>
    <w:p>
      <w:pPr>
        <w:tabs>
          <w:tab w:pos="340" w:val="left"/>
        </w:tabs>
        <w:ind w:left="340" w:hanging="340"/>
      </w:pPr>
      <w:r>
        <w:rPr>
          <w:b/>
          <w:color w:val="8C5A2B"/>
        </w:rPr>
        <w:t>6.</w:t>
        <w:tab/>
      </w:r>
      <w:r>
        <w:rPr>
          <w:b/>
        </w:rPr>
        <w:t>Jede Entscheidung schriftlich begründen.</w:t>
      </w:r>
      <w:r>
        <w:t xml:space="preserve"> Eine halbe Seite: Anfrage, Fragen, Antworten, Bedingungen, Entscheidung, Name, Datum. Auch eine Zusage wird begründet.</w:t>
      </w:r>
    </w:p>
    <w:p>
      <w:pPr>
        <w:tabs>
          <w:tab w:pos="340" w:val="left"/>
        </w:tabs>
        <w:ind w:left="340" w:hanging="340"/>
      </w:pPr>
      <w:r>
        <w:rPr>
          <w:b/>
          <w:color w:val="8C5A2B"/>
        </w:rPr>
        <w:t>7.</w:t>
        <w:tab/>
      </w:r>
      <w:r>
        <w:rPr>
          <w:b/>
        </w:rPr>
        <w:t>Dem Verwaltungsrat berichten.</w:t>
      </w:r>
      <w:r>
        <w:t xml:space="preserve"> In jeder Sitzung eine Liste der geprüften Fälle mit Ergebnis. Einmal im Jahr die Frage, ob die Regeln noch passen (9.3).</w:t>
      </w:r>
    </w:p>
    <w:p>
      <w:pPr>
        <w:keepNext/>
        <w:spacing w:after="40"/>
      </w:pPr>
      <w:r>
        <w:rPr>
          <w:b/>
          <w:i w:val="0"/>
          <w:color w:val="8C5A2B"/>
          <w:sz w:val="18"/>
        </w:rPr>
        <w:t>Umsetzung im eigenen Haus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4649"/>
        <w:gridCol w:w="2041"/>
        <w:gridCol w:w="1474"/>
        <w:gridCol w:w="1474"/>
      </w:tblGrid>
      <w:tr>
        <w:trPr>
          <w:cantSplit w:val="true"/>
          <w:tblHeader w:val="true"/>
        </w:trPr>
        <w:tc>
          <w:tcPr>
            <w:tcW w:type="dxa" w:w="4649"/>
            <w:shd w:val="clear" w:color="auto" w:fill="8C5A2B"/>
          </w:tcPr>
          <w:p>
            <w:pPr>
              <w:spacing w:after="0" w:before="0"/>
            </w:pPr>
            <w:r/>
            <w:r>
              <w:rPr>
                <w:b/>
                <w:i w:val="0"/>
                <w:color w:val="FFFFFF"/>
                <w:sz w:val="17"/>
              </w:rPr>
              <w:t>Schritt</w:t>
            </w:r>
          </w:p>
        </w:tc>
        <w:tc>
          <w:tcPr>
            <w:tcW w:type="dxa" w:w="2041"/>
            <w:shd w:val="clear" w:color="auto" w:fill="8C5A2B"/>
          </w:tcPr>
          <w:p>
            <w:pPr>
              <w:spacing w:after="0" w:before="0"/>
            </w:pPr>
            <w:r/>
            <w:r>
              <w:rPr>
                <w:b/>
                <w:i w:val="0"/>
                <w:color w:val="FFFFFF"/>
                <w:sz w:val="17"/>
              </w:rPr>
              <w:t>Verantwortlich</w:t>
            </w:r>
          </w:p>
        </w:tc>
        <w:tc>
          <w:tcPr>
            <w:tcW w:type="dxa" w:w="1474"/>
            <w:shd w:val="clear" w:color="auto" w:fill="8C5A2B"/>
          </w:tcPr>
          <w:p>
            <w:pPr>
              <w:spacing w:after="0" w:before="0"/>
            </w:pPr>
            <w:r/>
            <w:r>
              <w:rPr>
                <w:b/>
                <w:i w:val="0"/>
                <w:color w:val="FFFFFF"/>
                <w:sz w:val="17"/>
              </w:rPr>
              <w:t>Termin</w:t>
            </w:r>
          </w:p>
        </w:tc>
        <w:tc>
          <w:tcPr>
            <w:tcW w:type="dxa" w:w="1474"/>
            <w:shd w:val="clear" w:color="auto" w:fill="8C5A2B"/>
          </w:tcPr>
          <w:p>
            <w:pPr>
              <w:spacing w:after="0" w:before="0"/>
            </w:pPr>
            <w:r/>
            <w:r>
              <w:rPr>
                <w:b/>
                <w:i w:val="0"/>
                <w:color w:val="FFFFFF"/>
                <w:sz w:val="17"/>
              </w:rPr>
              <w:t>Erledigt</w:t>
            </w:r>
          </w:p>
        </w:tc>
      </w:tr>
      <w:tr>
        <w:trPr>
          <w:cantSplit w:val="true"/>
        </w:trPr>
        <w:tc>
          <w:tcPr>
            <w:tcW w:type="dxa" w:w="4649"/>
          </w:tcPr>
          <w:p>
            <w:pPr>
              <w:spacing w:after="0" w:before="0"/>
            </w:pPr>
            <w:r/>
            <w:r>
              <w:rPr>
                <w:b w:val="0"/>
                <w:i w:val="0"/>
                <w:color w:val="1A1A1A"/>
                <w:sz w:val="17"/>
              </w:rPr>
              <w:t>1. Das Leitbild in Fragen übersetzen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2. Die Fälle festlegen, die nach oben gehen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3. Zuständigkeiten aufschreiben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4. Sponsoren wie Lieferanten behandeln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5. Eigene Interessen offenlegen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6. Jede Entscheidung schriftlich begründen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7. Dem Verwaltungsrat berichten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bl>
    <w:p>
      <w:pPr>
        <w:spacing w:after="40"/>
      </w:pPr>
    </w:p>
    <w:p>
      <w:pPr>
        <w:pStyle w:val="Heading2"/>
      </w:pPr>
      <w:r>
        <w:t>Prüf-Checkliste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5216"/>
        <w:gridCol w:w="680"/>
        <w:gridCol w:w="680"/>
        <w:gridCol w:w="3061"/>
      </w:tblGrid>
      <w:tr>
        <w:trPr>
          <w:cantSplit w:val="true"/>
          <w:tblHeader w:val="true"/>
        </w:trPr>
        <w:tc>
          <w:tcPr>
            <w:tcW w:type="dxa" w:w="5216"/>
            <w:shd w:val="clear" w:color="auto" w:fill="8C5A2B"/>
          </w:tcPr>
          <w:p>
            <w:pPr>
              <w:spacing w:after="0" w:before="0"/>
            </w:pPr>
            <w:r/>
            <w:r>
              <w:rPr>
                <w:b/>
                <w:i w:val="0"/>
                <w:color w:val="FFFFFF"/>
                <w:sz w:val="18"/>
              </w:rPr>
              <w:t>Frage</w:t>
            </w:r>
          </w:p>
        </w:tc>
        <w:tc>
          <w:tcPr>
            <w:tcW w:type="dxa" w:w="680"/>
            <w:shd w:val="clear" w:color="auto" w:fill="8C5A2B"/>
          </w:tcPr>
          <w:p>
            <w:pPr>
              <w:spacing w:after="0" w:before="0"/>
            </w:pPr>
            <w:r/>
            <w:r>
              <w:rPr>
                <w:b/>
                <w:i w:val="0"/>
                <w:color w:val="FFFFFF"/>
                <w:sz w:val="18"/>
              </w:rPr>
              <w:t>Ja</w:t>
            </w:r>
          </w:p>
        </w:tc>
        <w:tc>
          <w:tcPr>
            <w:tcW w:type="dxa" w:w="680"/>
            <w:shd w:val="clear" w:color="auto" w:fill="8C5A2B"/>
          </w:tcPr>
          <w:p>
            <w:pPr>
              <w:spacing w:after="0" w:before="0"/>
            </w:pPr>
            <w:r/>
            <w:r>
              <w:rPr>
                <w:b/>
                <w:i w:val="0"/>
                <w:color w:val="FFFFFF"/>
                <w:sz w:val="18"/>
              </w:rPr>
              <w:t>Nein</w:t>
            </w:r>
          </w:p>
        </w:tc>
        <w:tc>
          <w:tcPr>
            <w:tcW w:type="dxa" w:w="3061"/>
            <w:shd w:val="clear" w:color="auto" w:fill="8C5A2B"/>
          </w:tcPr>
          <w:p>
            <w:pPr>
              <w:spacing w:after="0" w:before="0"/>
            </w:pPr>
            <w:r/>
            <w:r>
              <w:rPr>
                <w:b/>
                <w:i w:val="0"/>
                <w:color w:val="FFFFFF"/>
                <w:sz w:val="18"/>
              </w:rPr>
              <w:t>Nachweis / Bemerkung</w:t>
            </w:r>
          </w:p>
        </w:tc>
      </w:tr>
      <w:tr>
        <w:trPr>
          <w:cantSplit w:val="true"/>
        </w:trPr>
        <w:tc>
          <w:tcPr>
            <w:tcW w:type="dxa" w:w="5216"/>
          </w:tcPr>
          <w:p>
            <w:pPr>
              <w:spacing w:after="0" w:before="0"/>
            </w:pPr>
            <w:r/>
            <w:r>
              <w:rPr>
                <w:b w:val="0"/>
                <w:i w:val="0"/>
                <w:color w:val="1A1A1A"/>
                <w:sz w:val="18"/>
              </w:rPr>
              <w:t>Hat das Aufsichtsgremium das Leitbild beraten und beschlossen?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Gibt es zu jedem der vier Prinzipien eine Frage, die der Verkauf bei einer Anfrage stellen kann?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Ist festgelegt, welche Anlässe die Direktion nach Grundsätzen entscheidet?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Ist festgelegt, wer dem Verwaltungsrat über die Leistung des Systems berichtet, und wann?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Werden Sponsoren vor dem Vertrag wie Lieferanten geprüft?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Sieht das Haus die Einladung eines Kunden, bevor sie mit seinem Namen verschickt wird?</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Ist geregelt, dass niemand allein über eine Buchung urteilt, an der er verdient?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Gab es im letzten Jahr eine begründete Absage oder eine Zusage mit Bedingungen?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bl>
    <w:p>
      <w:pPr>
        <w:spacing w:after="40"/>
      </w:pPr>
    </w:p>
    <w:p>
      <w:pPr>
        <w:pStyle w:val="Heading2"/>
      </w:pPr>
      <w:r>
        <w:t>Häufige Fehler</w:t>
      </w:r>
    </w:p>
    <w:p>
      <w:pPr>
        <w:tabs>
          <w:tab w:pos="340" w:val="left"/>
        </w:tabs>
        <w:ind w:left="340" w:hanging="340"/>
      </w:pPr>
      <w:r>
        <w:rPr>
          <w:color w:val="8C5A2B"/>
        </w:rPr>
        <w:t>–</w:t>
        <w:tab/>
      </w:r>
      <w:r>
        <w:rPr>
          <w:b/>
        </w:rPr>
        <w:t>Das Leitbild der Marketingabteilung überlassen.</w:t>
      </w:r>
      <w:r>
        <w:t xml:space="preserve"> Es wird schön und entscheidet nichts.</w:t>
      </w:r>
    </w:p>
    <w:p>
      <w:pPr>
        <w:tabs>
          <w:tab w:pos="340" w:val="left"/>
        </w:tabs>
        <w:ind w:left="340" w:hanging="340"/>
      </w:pPr>
      <w:r>
        <w:rPr>
          <w:color w:val="8C5A2B"/>
        </w:rPr>
        <w:t>–</w:t>
        <w:tab/>
      </w:r>
      <w:r>
        <w:rPr>
          <w:b/>
        </w:rPr>
        <w:t>Die Politik unterschreiben lassen, ohne sie im Gremium zu beraten.</w:t>
      </w:r>
      <w:r>
        <w:t xml:space="preserve"> Dann steht die Eigentümerschaft nur auf dem Papier dahinter.</w:t>
      </w:r>
    </w:p>
    <w:p>
      <w:pPr>
        <w:tabs>
          <w:tab w:pos="340" w:val="left"/>
        </w:tabs>
        <w:ind w:left="340" w:hanging="340"/>
      </w:pPr>
      <w:r>
        <w:rPr>
          <w:color w:val="8C5A2B"/>
        </w:rPr>
        <w:t>–</w:t>
        <w:tab/>
      </w:r>
      <w:r>
        <w:rPr>
          <w:b/>
        </w:rPr>
        <w:t>Den Sponsor für die Sache des Kunden halten.</w:t>
      </w:r>
      <w:r>
        <w:t xml:space="preserve"> Er steht in den Räumen und unter dem Namen des Hauses.</w:t>
      </w:r>
    </w:p>
    <w:p>
      <w:pPr>
        <w:tabs>
          <w:tab w:pos="340" w:val="left"/>
        </w:tabs>
        <w:ind w:left="340" w:hanging="340"/>
      </w:pPr>
      <w:r>
        <w:rPr>
          <w:color w:val="8C5A2B"/>
        </w:rPr>
        <w:t>–</w:t>
        <w:tab/>
      </w:r>
      <w:r>
        <w:rPr>
          <w:b/>
        </w:rPr>
        <w:t>Heikle Fälle «zur Kenntnis» nach oben schieben.</w:t>
      </w:r>
      <w:r>
        <w:t xml:space="preserve"> Das Gremium entscheidet dann den Einzelfall statt der Regel.</w:t>
      </w:r>
    </w:p>
    <w:p>
      <w:pPr>
        <w:tabs>
          <w:tab w:pos="340" w:val="left"/>
        </w:tabs>
        <w:ind w:left="340" w:hanging="340"/>
      </w:pPr>
      <w:r>
        <w:rPr>
          <w:color w:val="8C5A2B"/>
        </w:rPr>
        <w:t>–</w:t>
        <w:tab/>
      </w:r>
      <w:r>
        <w:rPr>
          <w:b/>
        </w:rPr>
        <w:t>Die Präsidentin den Einzelfall entscheiden lassen.</w:t>
      </w:r>
      <w:r>
        <w:t xml:space="preserve"> Beim nächsten Fall fehlt die Regel wieder.</w:t>
      </w:r>
    </w:p>
    <w:p>
      <w:pPr>
        <w:tabs>
          <w:tab w:pos="340" w:val="left"/>
        </w:tabs>
        <w:ind w:left="340" w:hanging="340"/>
      </w:pPr>
      <w:r>
        <w:rPr>
          <w:color w:val="8C5A2B"/>
        </w:rPr>
        <w:t>–</w:t>
        <w:tab/>
      </w:r>
      <w:r>
        <w:rPr>
          <w:b/>
        </w:rPr>
        <w:t>Nur über Umsatz berichten.</w:t>
      </w:r>
      <w:r>
        <w:t xml:space="preserve"> Ein Verwaltungsrat, der nie von einer Absage hört, weiss nicht, ob geprüft wird.</w:t>
      </w:r>
    </w:p>
    <w:p>
      <w:pPr>
        <w:pStyle w:val="Heading2"/>
      </w:pPr>
      <w:r>
        <w:t>Modellrechnung</w:t>
      </w:r>
    </w:p>
    <w:p>
      <w:r>
        <w:rPr>
          <w:b w:val="0"/>
          <w:i/>
          <w:color w:val="5A5A5A"/>
          <w:sz w:val="18"/>
        </w:rPr>
        <w:t>Modellannahme, kein belegter Branchenwert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175"/>
        <w:gridCol w:w="1474"/>
        <w:gridCol w:w="3175"/>
        <w:gridCol w:w="1814"/>
      </w:tblGrid>
      <w:tr>
        <w:trPr>
          <w:cantSplit w:val="true"/>
          <w:tblHeader w:val="true"/>
        </w:trPr>
        <w:tc>
          <w:tcPr>
            <w:tcW w:type="dxa" w:w="3175"/>
            <w:shd w:val="clear" w:color="auto" w:fill="8C5A2B"/>
          </w:tcPr>
          <w:p>
            <w:pPr>
              <w:spacing w:after="0" w:before="0"/>
            </w:pPr>
            <w:r/>
            <w:r>
              <w:rPr>
                <w:b/>
                <w:i w:val="0"/>
                <w:color w:val="FFFFFF"/>
                <w:sz w:val="18"/>
              </w:rPr>
              <w:t>Posten</w:t>
            </w:r>
          </w:p>
        </w:tc>
        <w:tc>
          <w:tcPr>
            <w:tcW w:type="dxa" w:w="1474"/>
            <w:shd w:val="clear" w:color="auto" w:fill="8C5A2B"/>
          </w:tcPr>
          <w:p>
            <w:pPr>
              <w:spacing w:after="0" w:before="0"/>
            </w:pPr>
            <w:r/>
            <w:r>
              <w:rPr>
                <w:b/>
                <w:i w:val="0"/>
                <w:color w:val="FFFFFF"/>
                <w:sz w:val="18"/>
              </w:rPr>
              <w:t>Betrag</w:t>
            </w:r>
          </w:p>
        </w:tc>
        <w:tc>
          <w:tcPr>
            <w:tcW w:type="dxa" w:w="3175"/>
            <w:shd w:val="clear" w:color="auto" w:fill="8C5A2B"/>
          </w:tcPr>
          <w:p>
            <w:pPr>
              <w:spacing w:after="0" w:before="0"/>
            </w:pPr>
            <w:r/>
            <w:r>
              <w:rPr>
                <w:b/>
                <w:i w:val="0"/>
                <w:color w:val="FFFFFF"/>
                <w:sz w:val="18"/>
              </w:rPr>
              <w:t>Anmerkung</w:t>
            </w:r>
          </w:p>
        </w:tc>
        <w:tc>
          <w:tcPr>
            <w:tcW w:type="dxa" w:w="1814"/>
            <w:shd w:val="clear" w:color="auto" w:fill="8C5A2B"/>
          </w:tcPr>
          <w:p>
            <w:pPr>
              <w:spacing w:after="0" w:before="0"/>
            </w:pPr>
            <w:r/>
            <w:r>
              <w:rPr>
                <w:b/>
                <w:i w:val="0"/>
                <w:color w:val="FFFFFF"/>
                <w:sz w:val="18"/>
              </w:rPr>
              <w:t>Eigener Wert</w:t>
            </w:r>
          </w:p>
        </w:tc>
      </w:tr>
      <w:tr>
        <w:trPr>
          <w:cantSplit w:val="true"/>
        </w:trPr>
        <w:tc>
          <w:tcPr>
            <w:tcW w:type="dxa" w:w="3175"/>
          </w:tcPr>
          <w:p>
            <w:pPr>
              <w:spacing w:after="0" w:before="0"/>
            </w:pPr>
            <w:r/>
            <w:r>
              <w:rPr>
                <w:b w:val="0"/>
                <w:i w:val="0"/>
                <w:color w:val="1A1A1A"/>
                <w:sz w:val="18"/>
              </w:rPr>
              <w:t>Gala mit Zimmern, Saal, Empfang</w:t>
            </w:r>
          </w:p>
        </w:tc>
        <w:tc>
          <w:tcPr>
            <w:tcW w:type="dxa" w:w="1474"/>
          </w:tcPr>
          <w:p>
            <w:pPr>
              <w:spacing w:after="0" w:before="0"/>
            </w:pPr>
            <w:r/>
            <w:r>
              <w:rPr>
                <w:b w:val="0"/>
                <w:i w:val="0"/>
                <w:color w:val="1A1A1A"/>
                <w:sz w:val="18"/>
              </w:rPr>
              <w:t>CHF 214.000</w:t>
            </w:r>
          </w:p>
        </w:tc>
        <w:tc>
          <w:tcPr>
            <w:tcW w:type="dxa" w:w="3175"/>
          </w:tcPr>
          <w:p>
            <w:pPr>
              <w:spacing w:after="0" w:before="0"/>
            </w:pPr>
            <w:r/>
            <w:r>
              <w:rPr>
                <w:b w:val="0"/>
                <w:i w:val="0"/>
                <w:color w:val="1A1A1A"/>
                <w:sz w:val="18"/>
              </w:rPr>
              <w:t>Angebot der Verkaufsleiterin</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Lounge des Sponsors</w:t>
            </w:r>
          </w:p>
        </w:tc>
        <w:tc>
          <w:tcPr>
            <w:tcW w:type="dxa" w:w="1474"/>
            <w:shd w:val="clear" w:color="auto" w:fill="F3EFE6"/>
          </w:tcPr>
          <w:p>
            <w:pPr>
              <w:spacing w:after="0" w:before="0"/>
            </w:pPr>
            <w:r/>
            <w:r>
              <w:rPr>
                <w:b w:val="0"/>
                <w:i w:val="0"/>
                <w:color w:val="1A1A1A"/>
                <w:sz w:val="18"/>
              </w:rPr>
              <w:t>CHF 14.000</w:t>
            </w:r>
          </w:p>
        </w:tc>
        <w:tc>
          <w:tcPr>
            <w:tcW w:type="dxa" w:w="3175"/>
            <w:shd w:val="clear" w:color="auto" w:fill="F3EFE6"/>
          </w:tcPr>
          <w:p>
            <w:pPr>
              <w:spacing w:after="0" w:before="0"/>
            </w:pPr>
            <w:r/>
            <w:r>
              <w:rPr>
                <w:b w:val="0"/>
                <w:i w:val="0"/>
                <w:color w:val="1A1A1A"/>
                <w:sz w:val="18"/>
              </w:rPr>
              <w:t>entfällt, wenn der Sponsor die Bedingungen ablehnt</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Ausarbeitung der Entscheidungsordnung</w:t>
            </w:r>
          </w:p>
        </w:tc>
        <w:tc>
          <w:tcPr>
            <w:tcW w:type="dxa" w:w="1474"/>
          </w:tcPr>
          <w:p>
            <w:pPr>
              <w:spacing w:after="0" w:before="0"/>
            </w:pPr>
            <w:r/>
            <w:r>
              <w:rPr>
                <w:b w:val="0"/>
                <w:i w:val="0"/>
                <w:color w:val="1A1A1A"/>
                <w:sz w:val="18"/>
              </w:rPr>
              <w:t>24 Stunden</w:t>
            </w:r>
          </w:p>
        </w:tc>
        <w:tc>
          <w:tcPr>
            <w:tcW w:type="dxa" w:w="3175"/>
          </w:tcPr>
          <w:p>
            <w:pPr>
              <w:spacing w:after="0" w:before="0"/>
            </w:pPr>
            <w:r/>
            <w:r>
              <w:rPr>
                <w:b w:val="0"/>
                <w:i w:val="0"/>
                <w:color w:val="1A1A1A"/>
                <w:sz w:val="18"/>
              </w:rPr>
              <w:t>einmalig, Direktion</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Beratung und Beschluss im Verwaltungsrat</w:t>
            </w:r>
          </w:p>
        </w:tc>
        <w:tc>
          <w:tcPr>
            <w:tcW w:type="dxa" w:w="1474"/>
            <w:shd w:val="clear" w:color="auto" w:fill="F3EFE6"/>
          </w:tcPr>
          <w:p>
            <w:pPr>
              <w:spacing w:after="0" w:before="0"/>
            </w:pPr>
            <w:r/>
            <w:r>
              <w:rPr>
                <w:b w:val="0"/>
                <w:i w:val="0"/>
                <w:color w:val="1A1A1A"/>
                <w:sz w:val="18"/>
              </w:rPr>
              <w:t>5 Stunden</w:t>
            </w:r>
          </w:p>
        </w:tc>
        <w:tc>
          <w:tcPr>
            <w:tcW w:type="dxa" w:w="3175"/>
            <w:shd w:val="clear" w:color="auto" w:fill="F3EFE6"/>
          </w:tcPr>
          <w:p>
            <w:pPr>
              <w:spacing w:after="0" w:before="0"/>
            </w:pPr>
            <w:r/>
            <w:r>
              <w:rPr>
                <w:b w:val="0"/>
                <w:i w:val="0"/>
                <w:color w:val="1A1A1A"/>
                <w:sz w:val="18"/>
              </w:rPr>
              <w:t>einmalig, fünf Mitglieder je eine Stunde</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Prüfung heikler Anfragen, 8 im Jahr zu 3 Stunden</w:t>
            </w:r>
          </w:p>
        </w:tc>
        <w:tc>
          <w:tcPr>
            <w:tcW w:type="dxa" w:w="1474"/>
          </w:tcPr>
          <w:p>
            <w:pPr>
              <w:spacing w:after="0" w:before="0"/>
            </w:pPr>
            <w:r/>
            <w:r>
              <w:rPr>
                <w:b w:val="0"/>
                <w:i w:val="0"/>
                <w:color w:val="1A1A1A"/>
                <w:sz w:val="18"/>
              </w:rPr>
              <w:t>24 Stunden</w:t>
            </w:r>
          </w:p>
        </w:tc>
        <w:tc>
          <w:tcPr>
            <w:tcW w:type="dxa" w:w="3175"/>
          </w:tcPr>
          <w:p>
            <w:pPr>
              <w:spacing w:after="0" w:before="0"/>
            </w:pPr>
            <w:r/>
            <w:r>
              <w:rPr>
                <w:b w:val="0"/>
                <w:i w:val="0"/>
                <w:color w:val="1A1A1A"/>
                <w:sz w:val="18"/>
              </w:rPr>
              <w:t>jährlich, Verkauf und Direktion</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Bericht an den Verwaltungsrat, 6 Sitzungen zu 1 Stunde</w:t>
            </w:r>
          </w:p>
        </w:tc>
        <w:tc>
          <w:tcPr>
            <w:tcW w:type="dxa" w:w="1474"/>
            <w:shd w:val="clear" w:color="auto" w:fill="F3EFE6"/>
          </w:tcPr>
          <w:p>
            <w:pPr>
              <w:spacing w:after="0" w:before="0"/>
            </w:pPr>
            <w:r/>
            <w:r>
              <w:rPr>
                <w:b w:val="0"/>
                <w:i w:val="0"/>
                <w:color w:val="1A1A1A"/>
                <w:sz w:val="18"/>
              </w:rPr>
              <w:t>6 Stunden</w:t>
            </w:r>
          </w:p>
        </w:tc>
        <w:tc>
          <w:tcPr>
            <w:tcW w:type="dxa" w:w="3175"/>
            <w:shd w:val="clear" w:color="auto" w:fill="F3EFE6"/>
          </w:tcPr>
          <w:p>
            <w:pPr>
              <w:spacing w:after="0" w:before="0"/>
            </w:pPr>
            <w:r/>
            <w:r>
              <w:rPr>
                <w:b w:val="0"/>
                <w:i w:val="0"/>
                <w:color w:val="1A1A1A"/>
                <w:sz w:val="18"/>
              </w:rPr>
              <w:t>jährlich, Direktion</w:t>
            </w:r>
          </w:p>
        </w:tc>
        <w:tc>
          <w:tcPr>
            <w:tcW w:type="dxa" w:w="1814"/>
            <w:shd w:val="clear" w:color="auto" w:fill="F3EFE6"/>
          </w:tcPr>
          <w:p>
            <w:pPr>
              <w:spacing w:after="0" w:before="0"/>
            </w:pPr>
            <w:r/>
            <w:r>
              <w:rPr>
                <w:b w:val="0"/>
                <w:i w:val="0"/>
                <w:color w:val="1A1A1A"/>
                <w:sz w:val="18"/>
              </w:rPr>
            </w:r>
          </w:p>
        </w:tc>
      </w:tr>
    </w:tbl>
    <w:p>
      <w:pPr>
        <w:spacing w:after="40"/>
      </w:pPr>
    </w:p>
    <w:p>
      <w:r>
        <w:rPr>
          <w:b w:val="0"/>
          <w:i w:val="0"/>
        </w:rPr>
        <w:t>Die Rechnung vergleicht nicht Moral mit Geld. Sie zeigt, dass eine Ordnung, die solche Fälle regelt, im Jahr weniger Stunden kostet als ein einziger Fall, der ohne sie öffentlich wird. Was eine abgesagte Gala oder ein Zeitungsbericht kostet, kann niemand im Voraus beziffern (1.6).</w:t>
      </w:r>
    </w:p>
    <w:p>
      <w:pPr>
        <w:pStyle w:val="Heading2"/>
      </w:pPr>
      <w:r>
        <w:t>Was verlangt ist, und was nur Anleitung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88"/>
        <w:gridCol w:w="3175"/>
        <w:gridCol w:w="3175"/>
      </w:tblGrid>
      <w:tr>
        <w:trPr>
          <w:cantSplit w:val="true"/>
          <w:tblHeader w:val="true"/>
        </w:trPr>
        <w:tc>
          <w:tcPr>
            <w:tcW w:type="dxa" w:w="3288"/>
            <w:shd w:val="clear" w:color="auto" w:fill="8C5A2B"/>
          </w:tcPr>
          <w:p>
            <w:pPr>
              <w:spacing w:after="0" w:before="0"/>
            </w:pPr>
            <w:r/>
            <w:r>
              <w:rPr>
                <w:b/>
                <w:i w:val="0"/>
                <w:color w:val="FFFFFF"/>
                <w:sz w:val="18"/>
              </w:rPr>
              <w:t>Verlangt (Norm)</w:t>
            </w:r>
          </w:p>
        </w:tc>
        <w:tc>
          <w:tcPr>
            <w:tcW w:type="dxa" w:w="3175"/>
            <w:shd w:val="clear" w:color="auto" w:fill="8C5A2B"/>
          </w:tcPr>
          <w:p>
            <w:pPr>
              <w:spacing w:after="0" w:before="0"/>
            </w:pPr>
            <w:r/>
            <w:r>
              <w:rPr>
                <w:b/>
                <w:i w:val="0"/>
                <w:color w:val="FFFFFF"/>
                <w:sz w:val="18"/>
              </w:rPr>
              <w:t>Was es im Hotel belegt</w:t>
            </w:r>
          </w:p>
        </w:tc>
        <w:tc>
          <w:tcPr>
            <w:tcW w:type="dxa" w:w="3175"/>
            <w:shd w:val="clear" w:color="auto" w:fill="8C5A2B"/>
          </w:tcPr>
          <w:p>
            <w:pPr>
              <w:spacing w:after="0" w:before="0"/>
            </w:pPr>
            <w:r/>
            <w:r>
              <w:rPr>
                <w:b/>
                <w:i w:val="0"/>
                <w:color w:val="FFFFFF"/>
                <w:sz w:val="18"/>
              </w:rPr>
              <w:t>Nur Anhang oder Methode</w:t>
            </w:r>
          </w:p>
        </w:tc>
      </w:tr>
      <w:tr>
        <w:trPr>
          <w:cantSplit w:val="true"/>
        </w:trPr>
        <w:tc>
          <w:tcPr>
            <w:tcW w:type="dxa" w:w="3288"/>
          </w:tcPr>
          <w:p>
            <w:pPr>
              <w:spacing w:after="0" w:before="0"/>
            </w:pPr>
            <w:r/>
            <w:r>
              <w:rPr>
                <w:b w:val="0"/>
                <w:i w:val="0"/>
                <w:color w:val="1A1A1A"/>
                <w:sz w:val="18"/>
              </w:rPr>
              <w:t>Leitprinzipien in ein Leitbild einbinden (4.5)</w:t>
            </w:r>
          </w:p>
        </w:tc>
        <w:tc>
          <w:tcPr>
            <w:tcW w:type="dxa" w:w="3175"/>
          </w:tcPr>
          <w:p>
            <w:pPr>
              <w:spacing w:after="0" w:before="0"/>
            </w:pPr>
            <w:r/>
            <w:r>
              <w:rPr>
                <w:b w:val="0"/>
                <w:i w:val="0"/>
                <w:color w:val="1A1A1A"/>
                <w:sz w:val="18"/>
              </w:rPr>
              <w:t>Leitbild mit den vier Prinzipien, datiert</w:t>
            </w:r>
          </w:p>
        </w:tc>
        <w:tc>
          <w:tcPr>
            <w:tcW w:type="dxa" w:w="3175"/>
          </w:tcPr>
          <w:p>
            <w:pPr>
              <w:spacing w:after="0" w:before="0"/>
            </w:pPr>
            <w:r/>
            <w:r>
              <w:rPr>
                <w:b w:val="0"/>
                <w:i w:val="0"/>
                <w:color w:val="1A1A1A"/>
                <w:sz w:val="18"/>
              </w:rPr>
              <w:t>Formulierungen nach Tabelle A.2</w:t>
            </w:r>
          </w:p>
        </w:tc>
      </w:tr>
      <w:tr>
        <w:trPr>
          <w:cantSplit w:val="true"/>
        </w:trPr>
        <w:tc>
          <w:tcPr>
            <w:tcW w:type="dxa" w:w="3288"/>
            <w:shd w:val="clear" w:color="auto" w:fill="F3EFE6"/>
          </w:tcPr>
          <w:p>
            <w:pPr>
              <w:spacing w:after="0" w:before="0"/>
            </w:pPr>
            <w:r/>
            <w:r>
              <w:rPr>
                <w:b w:val="0"/>
                <w:i w:val="0"/>
                <w:color w:val="1A1A1A"/>
                <w:sz w:val="18"/>
              </w:rPr>
              <w:t>Zweck, Werte, Nutzen und Risiken dokumentieren (4.5)</w:t>
            </w:r>
          </w:p>
        </w:tc>
        <w:tc>
          <w:tcPr>
            <w:tcW w:type="dxa" w:w="3175"/>
            <w:shd w:val="clear" w:color="auto" w:fill="F3EFE6"/>
          </w:tcPr>
          <w:p>
            <w:pPr>
              <w:spacing w:after="0" w:before="0"/>
            </w:pPr>
            <w:r/>
            <w:r>
              <w:rPr>
                <w:b w:val="0"/>
                <w:i w:val="0"/>
                <w:color w:val="1A1A1A"/>
                <w:sz w:val="18"/>
              </w:rPr>
              <w:t>Erklärung zu Zweck und Werten</w:t>
            </w:r>
          </w:p>
        </w:tc>
        <w:tc>
          <w:tcPr>
            <w:tcW w:type="dxa" w:w="3175"/>
            <w:shd w:val="clear" w:color="auto" w:fill="F3EFE6"/>
          </w:tcPr>
          <w:p>
            <w:pPr>
              <w:spacing w:after="0" w:before="0"/>
            </w:pPr>
            <w:r/>
            <w:r>
              <w:rPr>
                <w:b w:val="0"/>
                <w:i w:val="0"/>
                <w:color w:val="1A1A1A"/>
                <w:sz w:val="18"/>
              </w:rPr>
              <w:t>Bezug ISO 26000 (A.6)</w:t>
            </w:r>
          </w:p>
        </w:tc>
      </w:tr>
      <w:tr>
        <w:trPr>
          <w:cantSplit w:val="true"/>
        </w:trPr>
        <w:tc>
          <w:tcPr>
            <w:tcW w:type="dxa" w:w="3288"/>
          </w:tcPr>
          <w:p>
            <w:pPr>
              <w:spacing w:after="0" w:before="0"/>
            </w:pPr>
            <w:r/>
            <w:r>
              <w:rPr>
                <w:b w:val="0"/>
                <w:i w:val="0"/>
                <w:color w:val="1A1A1A"/>
                <w:sz w:val="18"/>
              </w:rPr>
              <w:t>Rahmen für Politik, Ziele, operative Pläne (4.5)</w:t>
            </w:r>
          </w:p>
        </w:tc>
        <w:tc>
          <w:tcPr>
            <w:tcW w:type="dxa" w:w="3175"/>
          </w:tcPr>
          <w:p>
            <w:pPr>
              <w:spacing w:after="0" w:before="0"/>
            </w:pPr>
            <w:r/>
            <w:r>
              <w:rPr>
                <w:b w:val="0"/>
                <w:i w:val="0"/>
                <w:color w:val="1A1A1A"/>
                <w:sz w:val="18"/>
              </w:rPr>
              <w:t>Prüffragen im Angebotsprozess</w:t>
            </w:r>
          </w:p>
        </w:tc>
        <w:tc>
          <w:tcPr>
            <w:tcW w:type="dxa" w:w="3175"/>
          </w:tcPr>
          <w:p>
            <w:pPr>
              <w:spacing w:after="0" w:before="0"/>
            </w:pPr>
            <w:r/>
            <w:r>
              <w:rPr>
                <w:b w:val="0"/>
                <w:i w:val="0"/>
                <w:color w:val="1A1A1A"/>
                <w:sz w:val="18"/>
              </w:rPr>
              <w:t>vier Fragen je Anfrage als Methode</w:t>
            </w:r>
          </w:p>
        </w:tc>
      </w:tr>
      <w:tr>
        <w:trPr>
          <w:cantSplit w:val="true"/>
        </w:trPr>
        <w:tc>
          <w:tcPr>
            <w:tcW w:type="dxa" w:w="3288"/>
            <w:shd w:val="clear" w:color="auto" w:fill="F3EFE6"/>
          </w:tcPr>
          <w:p>
            <w:pPr>
              <w:spacing w:after="0" w:before="0"/>
            </w:pPr>
            <w:r/>
            <w:r>
              <w:rPr>
                <w:b w:val="0"/>
                <w:i w:val="0"/>
                <w:color w:val="1A1A1A"/>
                <w:sz w:val="18"/>
              </w:rPr>
              <w:t>Politik verweist auf Leitbild, datiert, unterzeichnet (5.2)</w:t>
            </w:r>
          </w:p>
        </w:tc>
        <w:tc>
          <w:tcPr>
            <w:tcW w:type="dxa" w:w="3175"/>
            <w:shd w:val="clear" w:color="auto" w:fill="F3EFE6"/>
          </w:tcPr>
          <w:p>
            <w:pPr>
              <w:spacing w:after="0" w:before="0"/>
            </w:pPr>
            <w:r/>
            <w:r>
              <w:rPr>
                <w:b w:val="0"/>
                <w:i w:val="0"/>
                <w:color w:val="1A1A1A"/>
                <w:sz w:val="18"/>
              </w:rPr>
              <w:t>unterzeichnete Politik mit Datum</w:t>
            </w:r>
          </w:p>
        </w:tc>
        <w:tc>
          <w:tcPr>
            <w:tcW w:type="dxa" w:w="3175"/>
            <w:shd w:val="clear" w:color="auto" w:fill="F3EFE6"/>
          </w:tcPr>
          <w:p>
            <w:pPr>
              <w:spacing w:after="0" w:before="0"/>
            </w:pPr>
            <w:r/>
            <w:r>
              <w:rPr>
                <w:b w:val="0"/>
                <w:i w:val="0"/>
                <w:color w:val="1A1A1A"/>
                <w:sz w:val="18"/>
              </w:rPr>
              <w:t>Mitunterschrift der Eigentümerschaft</w:t>
            </w:r>
          </w:p>
        </w:tc>
      </w:tr>
      <w:tr>
        <w:trPr>
          <w:cantSplit w:val="true"/>
        </w:trPr>
        <w:tc>
          <w:tcPr>
            <w:tcW w:type="dxa" w:w="3288"/>
          </w:tcPr>
          <w:p>
            <w:pPr>
              <w:spacing w:after="0" w:before="0"/>
            </w:pPr>
            <w:r/>
            <w:r>
              <w:rPr>
                <w:b w:val="0"/>
                <w:i w:val="0"/>
                <w:color w:val="1A1A1A"/>
                <w:sz w:val="18"/>
              </w:rPr>
              <w:t>Berichterstattung über die Leistung an die oberste Leitung (5.3 b)</w:t>
            </w:r>
          </w:p>
        </w:tc>
        <w:tc>
          <w:tcPr>
            <w:tcW w:type="dxa" w:w="3175"/>
          </w:tcPr>
          <w:p>
            <w:pPr>
              <w:spacing w:after="0" w:before="0"/>
            </w:pPr>
            <w:r/>
            <w:r>
              <w:rPr>
                <w:b w:val="0"/>
                <w:i w:val="0"/>
                <w:color w:val="1A1A1A"/>
                <w:sz w:val="18"/>
              </w:rPr>
              <w:t>Bericht der Direktion an den Verwaltungsrat</w:t>
            </w:r>
          </w:p>
        </w:tc>
        <w:tc>
          <w:tcPr>
            <w:tcW w:type="dxa" w:w="3175"/>
          </w:tcPr>
          <w:p>
            <w:pPr>
              <w:spacing w:after="0" w:before="0"/>
            </w:pPr>
            <w:r/>
            <w:r>
              <w:rPr>
                <w:b w:val="0"/>
                <w:i w:val="0"/>
                <w:color w:val="1A1A1A"/>
                <w:sz w:val="18"/>
              </w:rPr>
              <w:t>Schwelle für Fälle, die hochgehen</w:t>
            </w:r>
          </w:p>
        </w:tc>
      </w:tr>
      <w:tr>
        <w:trPr>
          <w:cantSplit w:val="true"/>
        </w:trPr>
        <w:tc>
          <w:tcPr>
            <w:tcW w:type="dxa" w:w="3288"/>
            <w:shd w:val="clear" w:color="auto" w:fill="F3EFE6"/>
          </w:tcPr>
          <w:p>
            <w:pPr>
              <w:spacing w:after="0" w:before="0"/>
            </w:pPr>
            <w:r/>
            <w:r>
              <w:rPr>
                <w:b w:val="0"/>
                <w:i w:val="0"/>
                <w:color w:val="1A1A1A"/>
                <w:sz w:val="18"/>
              </w:rPr>
              <w:t>Werbung und Produkte von Sponsoren passen zu den Grundsätzen (8.3)</w:t>
            </w:r>
          </w:p>
        </w:tc>
        <w:tc>
          <w:tcPr>
            <w:tcW w:type="dxa" w:w="3175"/>
            <w:shd w:val="clear" w:color="auto" w:fill="F3EFE6"/>
          </w:tcPr>
          <w:p>
            <w:pPr>
              <w:spacing w:after="0" w:before="0"/>
            </w:pPr>
            <w:r/>
            <w:r>
              <w:rPr>
                <w:b w:val="0"/>
                <w:i w:val="0"/>
                <w:color w:val="1A1A1A"/>
                <w:sz w:val="18"/>
              </w:rPr>
              <w:t>Sponsorklausel im Vertrag</w:t>
            </w:r>
          </w:p>
        </w:tc>
        <w:tc>
          <w:tcPr>
            <w:tcW w:type="dxa" w:w="3175"/>
            <w:shd w:val="clear" w:color="auto" w:fill="F3EFE6"/>
          </w:tcPr>
          <w:p>
            <w:pPr>
              <w:spacing w:after="0" w:before="0"/>
            </w:pPr>
            <w:r/>
            <w:r>
              <w:rPr>
                <w:b w:val="0"/>
                <w:i w:val="0"/>
                <w:color w:val="1A1A1A"/>
                <w:sz w:val="18"/>
              </w:rPr>
              <w:t>Fragebogen für Sponsoren</w:t>
            </w:r>
          </w:p>
        </w:tc>
      </w:tr>
    </w:tbl>
    <w:p>
      <w:pPr>
        <w:spacing w:after="40"/>
      </w:pPr>
    </w:p>
    <w:p>
      <w:pPr>
        <w:pStyle w:val="Heading2"/>
      </w:pPr>
      <w:r>
        <w:t>DACH-Anker: wer leitet, wer überwacht, wer haftet für die Aussage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1474"/>
        <w:gridCol w:w="2721"/>
        <w:gridCol w:w="2721"/>
        <w:gridCol w:w="2721"/>
      </w:tblGrid>
      <w:tr>
        <w:trPr>
          <w:cantSplit w:val="true"/>
          <w:tblHeader w:val="true"/>
        </w:trPr>
        <w:tc>
          <w:tcPr>
            <w:tcW w:type="dxa" w:w="1474"/>
            <w:shd w:val="clear" w:color="auto" w:fill="8C5A2B"/>
          </w:tcPr>
          <w:p>
            <w:pPr>
              <w:spacing w:after="0" w:before="0"/>
            </w:pPr>
            <w:r/>
            <w:r>
              <w:rPr>
                <w:b/>
                <w:i w:val="0"/>
                <w:color w:val="FFFFFF"/>
                <w:sz w:val="17"/>
              </w:rPr>
              <w:t>Ebene</w:t>
            </w:r>
          </w:p>
        </w:tc>
        <w:tc>
          <w:tcPr>
            <w:tcW w:type="dxa" w:w="2721"/>
            <w:shd w:val="clear" w:color="auto" w:fill="8C5A2B"/>
          </w:tcPr>
          <w:p>
            <w:pPr>
              <w:spacing w:after="0" w:before="0"/>
            </w:pPr>
            <w:r/>
            <w:r>
              <w:rPr>
                <w:b/>
                <w:i w:val="0"/>
                <w:color w:val="FFFFFF"/>
                <w:sz w:val="17"/>
              </w:rPr>
              <w:t>Deutschland</w:t>
            </w:r>
          </w:p>
        </w:tc>
        <w:tc>
          <w:tcPr>
            <w:tcW w:type="dxa" w:w="2721"/>
            <w:shd w:val="clear" w:color="auto" w:fill="8C5A2B"/>
          </w:tcPr>
          <w:p>
            <w:pPr>
              <w:spacing w:after="0" w:before="0"/>
            </w:pPr>
            <w:r/>
            <w:r>
              <w:rPr>
                <w:b/>
                <w:i w:val="0"/>
                <w:color w:val="FFFFFF"/>
                <w:sz w:val="17"/>
              </w:rPr>
              <w:t>Österreich</w:t>
            </w:r>
          </w:p>
        </w:tc>
        <w:tc>
          <w:tcPr>
            <w:tcW w:type="dxa" w:w="2721"/>
            <w:shd w:val="clear" w:color="auto" w:fill="8C5A2B"/>
          </w:tcPr>
          <w:p>
            <w:pPr>
              <w:spacing w:after="0" w:before="0"/>
            </w:pPr>
            <w:r/>
            <w:r>
              <w:rPr>
                <w:b/>
                <w:i w:val="0"/>
                <w:color w:val="FFFFFF"/>
                <w:sz w:val="17"/>
              </w:rPr>
              <w:t>Schweiz</w:t>
            </w:r>
          </w:p>
        </w:tc>
      </w:tr>
      <w:tr>
        <w:trPr>
          <w:cantSplit w:val="true"/>
        </w:trPr>
        <w:tc>
          <w:tcPr>
            <w:tcW w:type="dxa" w:w="1474"/>
          </w:tcPr>
          <w:p>
            <w:pPr>
              <w:spacing w:after="0" w:before="0"/>
            </w:pPr>
            <w:r/>
            <w:r>
              <w:rPr>
                <w:b w:val="0"/>
                <w:i w:val="0"/>
                <w:color w:val="1A1A1A"/>
                <w:sz w:val="17"/>
              </w:rPr>
              <w:t>Leitung</w:t>
            </w:r>
          </w:p>
        </w:tc>
        <w:tc>
          <w:tcPr>
            <w:tcW w:type="dxa" w:w="2721"/>
          </w:tcPr>
          <w:p>
            <w:pPr>
              <w:spacing w:after="0" w:before="0"/>
            </w:pPr>
            <w:r/>
            <w:r>
              <w:rPr>
                <w:b w:val="0"/>
                <w:i w:val="0"/>
                <w:color w:val="1A1A1A"/>
                <w:sz w:val="17"/>
              </w:rPr>
              <w:t>AG: Vorstand leitet unter eigener Verantwortung (§ 76 Abs. 1 AktG); GmbH: Geschäftsführer an Beschränkungen gebunden (§ 37 Abs. 1 GmbHG)</w:t>
            </w:r>
          </w:p>
        </w:tc>
        <w:tc>
          <w:tcPr>
            <w:tcW w:type="dxa" w:w="2721"/>
          </w:tcPr>
          <w:p>
            <w:pPr>
              <w:spacing w:after="0" w:before="0"/>
            </w:pPr>
            <w:r/>
            <w:r>
              <w:rPr>
                <w:b w:val="0"/>
                <w:i w:val="0"/>
                <w:color w:val="1A1A1A"/>
                <w:sz w:val="17"/>
              </w:rPr>
              <w:t>AG: Vorstand leitet unter eigener Verantwortung, mit Blick auf Aktionäre, Arbeitnehmer und öffentliches Interesse (§ 70 Abs. 1 AktG); GmbH: § 20 Abs. 1 GmbHG</w:t>
            </w:r>
          </w:p>
        </w:tc>
        <w:tc>
          <w:tcPr>
            <w:tcW w:type="dxa" w:w="2721"/>
          </w:tcPr>
          <w:p>
            <w:pPr>
              <w:spacing w:after="0" w:before="0"/>
            </w:pPr>
            <w:r/>
            <w:r>
              <w:rPr>
                <w:b w:val="0"/>
                <w:i w:val="0"/>
                <w:color w:val="1A1A1A"/>
                <w:sz w:val="17"/>
              </w:rPr>
              <w:t>Oberleitung und nötige Weisungen beim Verwaltungsrat, unübertragbar (Art. 716a Abs. 1 Ziff. 1 OR)</w:t>
            </w:r>
          </w:p>
        </w:tc>
      </w:tr>
      <w:tr>
        <w:trPr>
          <w:cantSplit w:val="true"/>
        </w:trPr>
        <w:tc>
          <w:tcPr>
            <w:tcW w:type="dxa" w:w="1474"/>
            <w:shd w:val="clear" w:color="auto" w:fill="F3EFE6"/>
          </w:tcPr>
          <w:p>
            <w:pPr>
              <w:spacing w:after="0" w:before="0"/>
            </w:pPr>
            <w:r/>
            <w:r>
              <w:rPr>
                <w:b w:val="0"/>
                <w:i w:val="0"/>
                <w:color w:val="1A1A1A"/>
                <w:sz w:val="17"/>
              </w:rPr>
              <w:t>Überwachung</w:t>
            </w:r>
          </w:p>
        </w:tc>
        <w:tc>
          <w:tcPr>
            <w:tcW w:type="dxa" w:w="2721"/>
            <w:shd w:val="clear" w:color="auto" w:fill="F3EFE6"/>
          </w:tcPr>
          <w:p>
            <w:pPr>
              <w:spacing w:after="0" w:before="0"/>
            </w:pPr>
            <w:r/>
            <w:r>
              <w:rPr>
                <w:b w:val="0"/>
                <w:i w:val="0"/>
                <w:color w:val="1A1A1A"/>
                <w:sz w:val="17"/>
              </w:rPr>
              <w:t>Aufsichtsrat überwacht die Geschäftsführung (§ 111 Abs. 1 AktG)</w:t>
            </w:r>
          </w:p>
        </w:tc>
        <w:tc>
          <w:tcPr>
            <w:tcW w:type="dxa" w:w="2721"/>
            <w:shd w:val="clear" w:color="auto" w:fill="F3EFE6"/>
          </w:tcPr>
          <w:p>
            <w:pPr>
              <w:spacing w:after="0" w:before="0"/>
            </w:pPr>
            <w:r/>
            <w:r>
              <w:rPr>
                <w:b w:val="0"/>
                <w:i w:val="0"/>
                <w:color w:val="1A1A1A"/>
                <w:sz w:val="17"/>
              </w:rPr>
              <w:t>Aufsichtsrat überwacht die Geschäftsführung (§ 95 Abs. 1 AktG)</w:t>
            </w:r>
          </w:p>
        </w:tc>
        <w:tc>
          <w:tcPr>
            <w:tcW w:type="dxa" w:w="2721"/>
            <w:shd w:val="clear" w:color="auto" w:fill="F3EFE6"/>
          </w:tcPr>
          <w:p>
            <w:pPr>
              <w:spacing w:after="0" w:before="0"/>
            </w:pPr>
            <w:r/>
            <w:r>
              <w:rPr>
                <w:b w:val="0"/>
                <w:i w:val="0"/>
                <w:color w:val="1A1A1A"/>
                <w:sz w:val="17"/>
              </w:rPr>
              <w:t>Oberaufsicht über die Geschäftsführung, auch zur Befolgung von Gesetzen und Weisungen (Art. 716a Abs. 1 Ziff. 5 OR)</w:t>
            </w:r>
          </w:p>
        </w:tc>
      </w:tr>
      <w:tr>
        <w:trPr>
          <w:cantSplit w:val="true"/>
        </w:trPr>
        <w:tc>
          <w:tcPr>
            <w:tcW w:type="dxa" w:w="1474"/>
          </w:tcPr>
          <w:p>
            <w:pPr>
              <w:spacing w:after="0" w:before="0"/>
            </w:pPr>
            <w:r/>
            <w:r>
              <w:rPr>
                <w:b w:val="0"/>
                <w:i w:val="0"/>
                <w:color w:val="1A1A1A"/>
                <w:sz w:val="17"/>
              </w:rPr>
              <w:t>Übertragung</w:t>
            </w:r>
          </w:p>
        </w:tc>
        <w:tc>
          <w:tcPr>
            <w:tcW w:type="dxa" w:w="2721"/>
          </w:tcPr>
          <w:p>
            <w:pPr>
              <w:spacing w:after="0" w:before="0"/>
            </w:pPr>
            <w:r/>
            <w:r>
              <w:rPr>
                <w:b w:val="0"/>
                <w:i w:val="0"/>
                <w:color w:val="1A1A1A"/>
                <w:sz w:val="17"/>
              </w:rPr>
              <w:t>Geschäftsführung nicht auf den Aufsichtsrat übertragbar; Zustimmungsvorbehalte möglich (§ 111 Abs. 4 AktG)</w:t>
            </w:r>
          </w:p>
        </w:tc>
        <w:tc>
          <w:tcPr>
            <w:tcW w:type="dxa" w:w="2721"/>
          </w:tcPr>
          <w:p>
            <w:pPr>
              <w:spacing w:after="0" w:before="0"/>
            </w:pPr>
            <w:r/>
            <w:r>
              <w:rPr>
                <w:b w:val="0"/>
                <w:i w:val="0"/>
                <w:color w:val="1A1A1A"/>
                <w:sz w:val="17"/>
              </w:rPr>
              <w:t>ebenso; zustimmungspflichtige Geschäfte (§ 95 Abs. 5 AktG)</w:t>
            </w:r>
          </w:p>
        </w:tc>
        <w:tc>
          <w:tcPr>
            <w:tcW w:type="dxa" w:w="2721"/>
          </w:tcPr>
          <w:p>
            <w:pPr>
              <w:spacing w:after="0" w:before="0"/>
            </w:pPr>
            <w:r/>
            <w:r>
              <w:rPr>
                <w:b w:val="0"/>
                <w:i w:val="0"/>
                <w:color w:val="1A1A1A"/>
                <w:sz w:val="17"/>
              </w:rPr>
              <w:t>Geschäftsführung übertragbar nach Statuten und Organisationsreglement (Art. 716b OR)</w:t>
            </w:r>
          </w:p>
        </w:tc>
      </w:tr>
      <w:tr>
        <w:trPr>
          <w:cantSplit w:val="true"/>
        </w:trPr>
        <w:tc>
          <w:tcPr>
            <w:tcW w:type="dxa" w:w="1474"/>
            <w:shd w:val="clear" w:color="auto" w:fill="F3EFE6"/>
          </w:tcPr>
          <w:p>
            <w:pPr>
              <w:spacing w:after="0" w:before="0"/>
            </w:pPr>
            <w:r/>
            <w:r>
              <w:rPr>
                <w:b w:val="0"/>
                <w:i w:val="0"/>
                <w:color w:val="1A1A1A"/>
                <w:sz w:val="17"/>
              </w:rPr>
              <w:t>Umweltaussagen</w:t>
            </w:r>
          </w:p>
        </w:tc>
        <w:tc>
          <w:tcPr>
            <w:tcW w:type="dxa" w:w="2721"/>
            <w:shd w:val="clear" w:color="auto" w:fill="F3EFE6"/>
          </w:tcPr>
          <w:p>
            <w:pPr>
              <w:spacing w:after="0" w:before="0"/>
            </w:pPr>
            <w:r/>
            <w:r>
              <w:rPr>
                <w:b w:val="0"/>
                <w:i w:val="0"/>
                <w:color w:val="1A1A1A"/>
                <w:sz w:val="17"/>
              </w:rPr>
              <w:t>UWG, ab 27. September 2026; Kompensationsaussagen (Anhang zu § 3 Abs. 3 Nr. 4c)</w:t>
            </w:r>
          </w:p>
        </w:tc>
        <w:tc>
          <w:tcPr>
            <w:tcW w:type="dxa" w:w="2721"/>
            <w:shd w:val="clear" w:color="auto" w:fill="F3EFE6"/>
          </w:tcPr>
          <w:p>
            <w:pPr>
              <w:spacing w:after="0" w:before="0"/>
            </w:pPr>
            <w:r/>
            <w:r>
              <w:rPr>
                <w:b w:val="0"/>
                <w:i w:val="0"/>
                <w:color w:val="1A1A1A"/>
                <w:sz w:val="17"/>
              </w:rPr>
              <w:t>UWG-Novelle BGBl. I Nr. 58/2026, ab 27. September 2026</w:t>
            </w:r>
          </w:p>
        </w:tc>
        <w:tc>
          <w:tcPr>
            <w:tcW w:type="dxa" w:w="2721"/>
            <w:shd w:val="clear" w:color="auto" w:fill="F3EFE6"/>
          </w:tcPr>
          <w:p>
            <w:pPr>
              <w:spacing w:after="0" w:before="0"/>
            </w:pPr>
            <w:r/>
            <w:r>
              <w:rPr>
                <w:b w:val="0"/>
                <w:i w:val="0"/>
                <w:color w:val="1A1A1A"/>
                <w:sz w:val="17"/>
              </w:rPr>
              <w:t>Angaben über die Klimawirkung nur mit objektiven, überprüfbaren Grundlagen (Art. 3 Abs. 1 lit. x UWG), seit 1. Januar 2025</w:t>
            </w:r>
          </w:p>
        </w:tc>
      </w:tr>
      <w:tr>
        <w:trPr>
          <w:cantSplit w:val="true"/>
        </w:trPr>
        <w:tc>
          <w:tcPr>
            <w:tcW w:type="dxa" w:w="1474"/>
          </w:tcPr>
          <w:p>
            <w:pPr>
              <w:spacing w:after="0" w:before="0"/>
            </w:pPr>
            <w:r/>
            <w:r>
              <w:rPr>
                <w:b w:val="0"/>
                <w:i w:val="0"/>
                <w:color w:val="1A1A1A"/>
                <w:sz w:val="17"/>
              </w:rPr>
              <w:t>Leitbild nach 4.5</w:t>
            </w:r>
          </w:p>
        </w:tc>
        <w:tc>
          <w:tcPr>
            <w:tcW w:type="dxa" w:w="2721"/>
          </w:tcPr>
          <w:p>
            <w:pPr>
              <w:spacing w:after="0" w:before="0"/>
            </w:pPr>
            <w:r/>
            <w:r>
              <w:rPr>
                <w:b w:val="0"/>
                <w:i w:val="0"/>
                <w:color w:val="1A1A1A"/>
                <w:sz w:val="17"/>
              </w:rPr>
              <w:t>nicht gesetzlich verlangt</w:t>
            </w:r>
          </w:p>
        </w:tc>
        <w:tc>
          <w:tcPr>
            <w:tcW w:type="dxa" w:w="2721"/>
          </w:tcPr>
          <w:p>
            <w:pPr>
              <w:spacing w:after="0" w:before="0"/>
            </w:pPr>
            <w:r/>
            <w:r>
              <w:rPr>
                <w:b w:val="0"/>
                <w:i w:val="0"/>
                <w:color w:val="1A1A1A"/>
                <w:sz w:val="17"/>
              </w:rPr>
              <w:t>nicht gesetzlich verlangt</w:t>
            </w:r>
          </w:p>
        </w:tc>
        <w:tc>
          <w:tcPr>
            <w:tcW w:type="dxa" w:w="2721"/>
          </w:tcPr>
          <w:p>
            <w:pPr>
              <w:spacing w:after="0" w:before="0"/>
            </w:pPr>
            <w:r/>
            <w:r>
              <w:rPr>
                <w:b w:val="0"/>
                <w:i w:val="0"/>
                <w:color w:val="1A1A1A"/>
                <w:sz w:val="17"/>
              </w:rPr>
              <w:t>nicht gesetzlich verlangt</w:t>
            </w:r>
          </w:p>
        </w:tc>
      </w:tr>
    </w:tbl>
    <w:p>
      <w:pPr>
        <w:spacing w:after="40"/>
      </w:pPr>
    </w:p>
    <w:p>
      <w:r>
        <w:rPr>
          <w:b w:val="0"/>
          <w:i w:val="0"/>
          <w:color w:val="5A5A5A"/>
          <w:sz w:val="17"/>
        </w:rPr>
        <w:t>Stand der Tabelle: 22. Oktober 2026, wie im Buch. Die laufende Fassung mit Änderungen nach diesem Stichtag steht in Band8a_Rechtsanker_DACH_laufend.xlsx. Die Tabelle ersetzt keine Prüfung der geltenden Fassung und keine Rechtsberatung im Einzelfall.</w:t>
      </w:r>
    </w:p>
    <w:p>
      <w:r>
        <w:rPr>
          <w:b w:val="0"/>
          <w:i w:val="0"/>
          <w:color w:val="5A5A5A"/>
          <w:sz w:val="17"/>
        </w:rPr>
        <w:t>Quelle: Francesco Dore, Das Steuer und die Lupe, Band 8a «Das Fest und seine Spuren», Abschnitt 1.7. Edizioni Effedore, 2026.</w:t>
      </w:r>
    </w:p>
    <w:sectPr w:rsidR="00FC693F" w:rsidRPr="0006063C" w:rsidSect="00034616">
      <w:footerReference w:type="default" r:id="rId9"/>
      <w:head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A5A5A"/>
        <w:sz w:val="15"/>
      </w:rPr>
      <w:t xml:space="preserve">Arbeitsmaterial 1.7 · Edizioni Effedore · buecher.effedore.com · Arbeitshilfe, keine Rechtsberatung  ·  Seite </w:t>
    </w:r>
    <w:r>
      <w:rPr>
        <w:color w:val="5A5A5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C5A2B"/>
        <w:sz w:val="15"/>
      </w:rPr>
      <w:t>Das Steuer und die Lupe · Band 8a · ISO 20121 — Das Fest und seine Spuren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eastAsia="Aptos"/>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majorHAnsi" w:cstheme="majorBidi" w:ascii="Aptos" w:hAnsi="Aptos"/>
      <w:b/>
      <w:bCs/>
      <w:color w:val="8C5A2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majorHAnsi" w:cstheme="majorBidi" w:ascii="Aptos" w:hAnsi="Aptos"/>
      <w:b/>
      <w:bCs/>
      <w:color w:val="8C5A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Arbeitsmaterial 1.7 — Eine Entscheidungsordnung für heikle Anlässe</dc:title>
  <dc:subject/>
  <dc:creator>Francesco Dore</dc:creator>
  <cp:keywords/>
  <dc:description>generated by python-docx</dc:description>
  <cp:lastModifiedBy/>
  <cp:revision>1</cp:revision>
  <dcterms:created xsi:type="dcterms:W3CDTF">2013-12-23T23:15:00Z</dcterms:created>
  <dcterms:modified xsi:type="dcterms:W3CDTF">2013-12-23T23:15:00Z</dcterms:modified>
  <cp:category/>
</cp:coreProperties>
</file>