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1.8</w:t>
      </w:r>
    </w:p>
    <w:p>
      <w:pPr>
        <w:pStyle w:val="Heading1"/>
      </w:pPr>
      <w:r>
        <w:t>Eine Investition für das Veranstaltungsgeschäft prüfen</w:t>
      </w:r>
    </w:p>
    <w:p>
      <w:pPr>
        <w:spacing w:after="0"/>
      </w:pPr>
      <w:r>
        <w:rPr>
          <w:b w:val="0"/>
          <w:i/>
          <w:color w:val="5A5A5A"/>
        </w:rPr>
        <w:t>Abschnitt 1.8 · Investitionsentscheidungen: Ressourcen, Technik und was davon bleibt</w:t>
      </w:r>
    </w:p>
    <w:p>
      <w:pPr>
        <w:spacing w:after="160"/>
      </w:pPr>
      <w:r>
        <w:rPr>
          <w:b w:val="0"/>
          <w:i w:val="0"/>
          <w:color w:val="5A5A5A"/>
          <w:sz w:val="18"/>
        </w:rPr>
        <w:t>Modellfall im Buch: Graz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Ihre Direktion drei Anträge für das Veranstaltungsgeschäft vorlegt und das Geld für einen oder zwei reicht: Wonach wählen Sie? Und was steht in zehn Jahren noch in Ihrem Haus, wenn die Feste, für die Sie gekauft haben, längst vorbei sind?</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Fünf Fragen an jede Investition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Warum sie zählt</w:t>
            </w:r>
          </w:p>
        </w:tc>
        <w:tc>
          <w:tcPr>
            <w:tcW w:type="dxa" w:w="3213"/>
            <w:shd w:val="clear" w:color="auto" w:fill="8C5A2B"/>
          </w:tcPr>
          <w:p>
            <w:pPr>
              <w:spacing w:after="0" w:before="0"/>
            </w:pPr>
            <w:r/>
            <w:r>
              <w:rPr>
                <w:b/>
                <w:i w:val="0"/>
                <w:color w:val="FFFFFF"/>
                <w:sz w:val="18"/>
              </w:rPr>
              <w:t>Antrag B als Beispiel</w:t>
            </w:r>
          </w:p>
        </w:tc>
      </w:tr>
      <w:tr>
        <w:trPr>
          <w:cantSplit w:val="true"/>
        </w:trPr>
        <w:tc>
          <w:tcPr>
            <w:tcW w:type="dxa" w:w="3213"/>
          </w:tcPr>
          <w:p>
            <w:pPr>
              <w:spacing w:after="0" w:before="0"/>
            </w:pPr>
            <w:r/>
            <w:r>
              <w:rPr>
                <w:b w:val="0"/>
                <w:i w:val="0"/>
                <w:color w:val="1A1A1A"/>
                <w:sz w:val="18"/>
              </w:rPr>
              <w:t>Wie oft wird sie gebraucht?</w:t>
            </w:r>
          </w:p>
        </w:tc>
        <w:tc>
          <w:tcPr>
            <w:tcW w:type="dxa" w:w="3213"/>
          </w:tcPr>
          <w:p>
            <w:pPr>
              <w:spacing w:after="0" w:before="0"/>
            </w:pPr>
            <w:r/>
            <w:r>
              <w:rPr>
                <w:b w:val="0"/>
                <w:i w:val="0"/>
                <w:color w:val="1A1A1A"/>
                <w:sz w:val="18"/>
              </w:rPr>
              <w:t>Häufigkeit trägt den Besitz</w:t>
            </w:r>
          </w:p>
        </w:tc>
        <w:tc>
          <w:tcPr>
            <w:tcW w:type="dxa" w:w="3213"/>
          </w:tcPr>
          <w:p>
            <w:pPr>
              <w:spacing w:after="0" w:before="0"/>
            </w:pPr>
            <w:r/>
            <w:r>
              <w:rPr>
                <w:b w:val="0"/>
                <w:i w:val="0"/>
                <w:color w:val="1A1A1A"/>
                <w:sz w:val="18"/>
              </w:rPr>
              <w:t>3 Buchungen, 8 Anfragen im Vorjahr</w:t>
            </w:r>
          </w:p>
        </w:tc>
      </w:tr>
      <w:tr>
        <w:trPr>
          <w:cantSplit w:val="true"/>
        </w:trPr>
        <w:tc>
          <w:tcPr>
            <w:tcW w:type="dxa" w:w="3213"/>
            <w:shd w:val="clear" w:color="auto" w:fill="F3EFE6"/>
          </w:tcPr>
          <w:p>
            <w:pPr>
              <w:spacing w:after="0" w:before="0"/>
            </w:pPr>
            <w:r/>
            <w:r>
              <w:rPr>
                <w:b w:val="0"/>
                <w:i w:val="0"/>
                <w:color w:val="1A1A1A"/>
                <w:sz w:val="18"/>
              </w:rPr>
              <w:t>Wer bedient sie?</w:t>
            </w:r>
          </w:p>
        </w:tc>
        <w:tc>
          <w:tcPr>
            <w:tcW w:type="dxa" w:w="3213"/>
            <w:shd w:val="clear" w:color="auto" w:fill="F3EFE6"/>
          </w:tcPr>
          <w:p>
            <w:pPr>
              <w:spacing w:after="0" w:before="0"/>
            </w:pPr>
            <w:r/>
            <w:r>
              <w:rPr>
                <w:b w:val="0"/>
                <w:i w:val="0"/>
                <w:color w:val="1A1A1A"/>
                <w:sz w:val="18"/>
              </w:rPr>
              <w:t>ohne Bediener keine Leistung</w:t>
            </w:r>
          </w:p>
        </w:tc>
        <w:tc>
          <w:tcPr>
            <w:tcW w:type="dxa" w:w="3213"/>
            <w:shd w:val="clear" w:color="auto" w:fill="F3EFE6"/>
          </w:tcPr>
          <w:p>
            <w:pPr>
              <w:spacing w:after="0" w:before="0"/>
            </w:pPr>
            <w:r/>
            <w:r>
              <w:rPr>
                <w:b w:val="0"/>
                <w:i w:val="0"/>
                <w:color w:val="1A1A1A"/>
                <w:sz w:val="18"/>
              </w:rPr>
              <w:t>ein Techniker, keine Schulung geplant</w:t>
            </w:r>
          </w:p>
        </w:tc>
      </w:tr>
      <w:tr>
        <w:trPr>
          <w:cantSplit w:val="true"/>
        </w:trPr>
        <w:tc>
          <w:tcPr>
            <w:tcW w:type="dxa" w:w="3213"/>
          </w:tcPr>
          <w:p>
            <w:pPr>
              <w:spacing w:after="0" w:before="0"/>
            </w:pPr>
            <w:r/>
            <w:r>
              <w:rPr>
                <w:b w:val="0"/>
                <w:i w:val="0"/>
                <w:color w:val="1A1A1A"/>
                <w:sz w:val="18"/>
              </w:rPr>
              <w:t>Wie lange hält sie?</w:t>
            </w:r>
          </w:p>
        </w:tc>
        <w:tc>
          <w:tcPr>
            <w:tcW w:type="dxa" w:w="3213"/>
          </w:tcPr>
          <w:p>
            <w:pPr>
              <w:spacing w:after="0" w:before="0"/>
            </w:pPr>
            <w:r/>
            <w:r>
              <w:rPr>
                <w:b w:val="0"/>
                <w:i w:val="0"/>
                <w:color w:val="1A1A1A"/>
                <w:sz w:val="18"/>
              </w:rPr>
              <w:t>Lebensdauer gegen Amortisation</w:t>
            </w:r>
          </w:p>
        </w:tc>
        <w:tc>
          <w:tcPr>
            <w:tcW w:type="dxa" w:w="3213"/>
          </w:tcPr>
          <w:p>
            <w:pPr>
              <w:spacing w:after="0" w:before="0"/>
            </w:pPr>
            <w:r/>
            <w:r>
              <w:rPr>
                <w:b w:val="0"/>
                <w:i w:val="0"/>
                <w:color w:val="1A1A1A"/>
                <w:sz w:val="18"/>
              </w:rPr>
              <w:t>etwa 5 Jahre bei 9 Jahren Rückfluss</w:t>
            </w:r>
          </w:p>
        </w:tc>
      </w:tr>
      <w:tr>
        <w:trPr>
          <w:cantSplit w:val="true"/>
        </w:trPr>
        <w:tc>
          <w:tcPr>
            <w:tcW w:type="dxa" w:w="3213"/>
            <w:shd w:val="clear" w:color="auto" w:fill="F3EFE6"/>
          </w:tcPr>
          <w:p>
            <w:pPr>
              <w:spacing w:after="0" w:before="0"/>
            </w:pPr>
            <w:r/>
            <w:r>
              <w:rPr>
                <w:b w:val="0"/>
                <w:i w:val="0"/>
                <w:color w:val="1A1A1A"/>
                <w:sz w:val="18"/>
              </w:rPr>
              <w:t>Was geschieht am Ende?</w:t>
            </w:r>
          </w:p>
        </w:tc>
        <w:tc>
          <w:tcPr>
            <w:tcW w:type="dxa" w:w="3213"/>
            <w:shd w:val="clear" w:color="auto" w:fill="F3EFE6"/>
          </w:tcPr>
          <w:p>
            <w:pPr>
              <w:spacing w:after="0" w:before="0"/>
            </w:pPr>
            <w:r/>
            <w:r>
              <w:rPr>
                <w:b w:val="0"/>
                <w:i w:val="0"/>
                <w:color w:val="1A1A1A"/>
                <w:sz w:val="18"/>
              </w:rPr>
              <w:t>Wiederverwendung oder Abfall</w:t>
            </w:r>
          </w:p>
        </w:tc>
        <w:tc>
          <w:tcPr>
            <w:tcW w:type="dxa" w:w="3213"/>
            <w:shd w:val="clear" w:color="auto" w:fill="F3EFE6"/>
          </w:tcPr>
          <w:p>
            <w:pPr>
              <w:spacing w:after="0" w:before="0"/>
            </w:pPr>
            <w:r/>
            <w:r>
              <w:rPr>
                <w:b w:val="0"/>
                <w:i w:val="0"/>
                <w:color w:val="1A1A1A"/>
                <w:sz w:val="18"/>
              </w:rPr>
              <w:t>nicht geplant</w:t>
            </w:r>
          </w:p>
        </w:tc>
      </w:tr>
      <w:tr>
        <w:trPr>
          <w:cantSplit w:val="true"/>
        </w:trPr>
        <w:tc>
          <w:tcPr>
            <w:tcW w:type="dxa" w:w="3213"/>
          </w:tcPr>
          <w:p>
            <w:pPr>
              <w:spacing w:after="0" w:before="0"/>
            </w:pPr>
            <w:r/>
            <w:r>
              <w:rPr>
                <w:b w:val="0"/>
                <w:i w:val="0"/>
                <w:color w:val="1A1A1A"/>
                <w:sz w:val="18"/>
              </w:rPr>
              <w:t>Was bleibt dem Haus?</w:t>
            </w:r>
          </w:p>
        </w:tc>
        <w:tc>
          <w:tcPr>
            <w:tcW w:type="dxa" w:w="3213"/>
          </w:tcPr>
          <w:p>
            <w:pPr>
              <w:spacing w:after="0" w:before="0"/>
            </w:pPr>
            <w:r/>
            <w:r>
              <w:rPr>
                <w:b w:val="0"/>
                <w:i w:val="0"/>
                <w:color w:val="1A1A1A"/>
                <w:sz w:val="18"/>
              </w:rPr>
              <w:t>Vermächtnis materiell und immateriell</w:t>
            </w:r>
          </w:p>
        </w:tc>
        <w:tc>
          <w:tcPr>
            <w:tcW w:type="dxa" w:w="3213"/>
          </w:tcPr>
          <w:p>
            <w:pPr>
              <w:spacing w:after="0" w:before="0"/>
            </w:pPr>
            <w:r/>
            <w:r>
              <w:rPr>
                <w:b w:val="0"/>
                <w:i w:val="0"/>
                <w:color w:val="1A1A1A"/>
                <w:sz w:val="18"/>
              </w:rPr>
              <w:t>ein geschulter Mitarbeiter, wenn man ihn ausbildet</w:t>
            </w:r>
          </w:p>
        </w:tc>
      </w:tr>
    </w:tbl>
    <w:p>
      <w:pPr>
        <w:spacing w:after="40"/>
      </w:pPr>
    </w:p>
    <w:p>
      <w:pPr>
        <w:pStyle w:val="Heading2"/>
      </w:pPr>
      <w:r>
        <w:t>Praktische Anwendung: eine Investition für das Veranstaltungsgeschäft in sieben Schritten prüfen</w:t>
      </w:r>
    </w:p>
    <w:p>
      <w:pPr>
        <w:tabs>
          <w:tab w:pos="340" w:val="left"/>
        </w:tabs>
        <w:ind w:left="340" w:hanging="340"/>
      </w:pPr>
      <w:r>
        <w:rPr>
          <w:b/>
          <w:color w:val="8C5A2B"/>
        </w:rPr>
        <w:t>1.</w:t>
        <w:tab/>
      </w:r>
      <w:r>
        <w:rPr>
          <w:b/>
        </w:rPr>
        <w:t>Das Veranstaltungsjahr zählen.</w:t>
      </w:r>
      <w:r>
        <w:t xml:space="preserve"> Art, Größe, Häufigkeit und Dauer aller Veranstaltungen der letzten zwei Jahre aus dem Buchungssystem. Anfragen getrennt von Buchungen.</w:t>
      </w:r>
    </w:p>
    <w:p>
      <w:pPr>
        <w:tabs>
          <w:tab w:pos="340" w:val="left"/>
        </w:tabs>
        <w:ind w:left="340" w:hanging="340"/>
      </w:pPr>
      <w:r>
        <w:rPr>
          <w:b/>
          <w:color w:val="8C5A2B"/>
        </w:rPr>
        <w:t>2.</w:t>
        <w:tab/>
      </w:r>
      <w:r>
        <w:rPr>
          <w:b/>
        </w:rPr>
        <w:t>Die Nutzung jeder Investition schätzen.</w:t>
      </w:r>
      <w:r>
        <w:t xml:space="preserve"> Wie viele dieser Veranstaltungen brauchen die Anlage? Die Schätzung des Verkaufs steht neben der Zahl aus dem Buchungssystem, nicht an ihrer Stelle.</w:t>
      </w:r>
    </w:p>
    <w:p>
      <w:pPr>
        <w:tabs>
          <w:tab w:pos="340" w:val="left"/>
        </w:tabs>
        <w:ind w:left="340" w:hanging="340"/>
      </w:pPr>
      <w:r>
        <w:rPr>
          <w:b/>
          <w:color w:val="8C5A2B"/>
        </w:rPr>
        <w:t>3.</w:t>
        <w:tab/>
      </w:r>
      <w:r>
        <w:rPr>
          <w:b/>
        </w:rPr>
        <w:t>Den Bediener bestimmen.</w:t>
      </w:r>
      <w:r>
        <w:t xml:space="preserve"> Wer bedient die Anlage, wer vertritt, was kostet die Schulung? Diese Kosten gehören in den Antrag (2.14).</w:t>
      </w:r>
    </w:p>
    <w:p>
      <w:pPr>
        <w:tabs>
          <w:tab w:pos="340" w:val="left"/>
        </w:tabs>
        <w:ind w:left="340" w:hanging="340"/>
      </w:pPr>
      <w:r>
        <w:rPr>
          <w:b/>
          <w:color w:val="8C5A2B"/>
        </w:rPr>
        <w:t>4.</w:t>
        <w:tab/>
      </w:r>
      <w:r>
        <w:rPr>
          <w:b/>
        </w:rPr>
        <w:t>Lebensdauer und Ende festlegen.</w:t>
      </w:r>
      <w:r>
        <w:t xml:space="preserve"> Wie lange hält die Anlage, was geschieht danach: Weitergabe, Rücknahme durch den Hersteller, Verwertung? Der Plan steht im Antrag.</w:t>
      </w:r>
    </w:p>
    <w:p>
      <w:pPr>
        <w:tabs>
          <w:tab w:pos="340" w:val="left"/>
        </w:tabs>
        <w:ind w:left="340" w:hanging="340"/>
      </w:pPr>
      <w:r>
        <w:rPr>
          <w:b/>
          <w:color w:val="8C5A2B"/>
        </w:rPr>
        <w:t>5.</w:t>
        <w:tab/>
      </w:r>
      <w:r>
        <w:rPr>
          <w:b/>
        </w:rPr>
        <w:t>Alternativen prüfen.</w:t>
      </w:r>
      <w:r>
        <w:t xml:space="preserve"> Mieten, mit einem Partner betreiben, gebraucht kaufen. Besitz lohnt sich, wo die Häufigkeit ihn trägt.</w:t>
      </w:r>
    </w:p>
    <w:p>
      <w:pPr>
        <w:tabs>
          <w:tab w:pos="340" w:val="left"/>
        </w:tabs>
        <w:ind w:left="340" w:hanging="340"/>
      </w:pPr>
      <w:r>
        <w:rPr>
          <w:b/>
          <w:color w:val="8C5A2B"/>
        </w:rPr>
        <w:t>6.</w:t>
        <w:tab/>
      </w:r>
      <w:r>
        <w:rPr>
          <w:b/>
        </w:rPr>
        <w:t>Kopplungen klären.</w:t>
      </w:r>
      <w:r>
        <w:t xml:space="preserve"> Welche andere Anlage muss mit dieser zusammen geplant werden? Anschlussleistung, Lüftung, Raum, Personal.</w:t>
      </w:r>
    </w:p>
    <w:p>
      <w:pPr>
        <w:tabs>
          <w:tab w:pos="340" w:val="left"/>
        </w:tabs>
        <w:ind w:left="340" w:hanging="340"/>
      </w:pPr>
      <w:r>
        <w:rPr>
          <w:b/>
          <w:color w:val="8C5A2B"/>
        </w:rPr>
        <w:t>7.</w:t>
        <w:tab/>
      </w:r>
      <w:r>
        <w:rPr>
          <w:b/>
        </w:rPr>
        <w:t>Nach zwei Jahren nachsehen.</w:t>
      </w:r>
      <w:r>
        <w:t xml:space="preserve"> Nutzung, Kosten und Ersparnis gegen den Antrag halten. Erst dann wird nach außen gesagt, was die Investition bewirkt hat.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Veranstaltungsjahr zählen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Nutzung jeder Investition schätzen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Bediener bestimmen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Lebensdauer und Ende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Alternativen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Kopplungen klären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 zwei Jahren nachsehen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Kennen wir Art, Größe und Häufigkeit unserer Veranstaltungen der letzten zwei Jahre?</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in jedem Investitionsantrag, wie oft die Anlage gebraucht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darin, wer sie bedient und was die Schulung kostet?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darin, wie lange sie hält und was am Ende mit ihr geschieht?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Mieten oder Partnerschaft als Alternative geprüft?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Kopplungen mit anderen Anlagen, bevor wir beschließen?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Führen wir Nachhaltigkeit im selben Budget wie die übrigen Investitionen?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Sagen wir öffentlich erst etwas über eine Investition, wenn ihre Wirkung gemessen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Nur nach Amortisation reihen.</w:t>
      </w:r>
      <w:r>
        <w:t xml:space="preserve"> Die Lebensdauer verschwindet aus der Entscheidung.</w:t>
      </w:r>
    </w:p>
    <w:p>
      <w:pPr>
        <w:tabs>
          <w:tab w:pos="340" w:val="left"/>
        </w:tabs>
        <w:ind w:left="340" w:hanging="340"/>
      </w:pPr>
      <w:r>
        <w:rPr>
          <w:color w:val="8C5A2B"/>
        </w:rPr>
        <w:t>–</w:t>
        <w:tab/>
      </w:r>
      <w:r>
        <w:rPr>
          <w:b/>
        </w:rPr>
        <w:t>Für die Anfrage kaufen, nicht für das Jahr.</w:t>
      </w:r>
      <w:r>
        <w:t xml:space="preserve"> Was zwei Kunden wünschen, braucht das Haus vielleicht dreimal.</w:t>
      </w:r>
    </w:p>
    <w:p>
      <w:pPr>
        <w:tabs>
          <w:tab w:pos="340" w:val="left"/>
        </w:tabs>
        <w:ind w:left="340" w:hanging="340"/>
      </w:pPr>
      <w:r>
        <w:rPr>
          <w:color w:val="8C5A2B"/>
        </w:rPr>
        <w:t>–</w:t>
        <w:tab/>
      </w:r>
      <w:r>
        <w:rPr>
          <w:b/>
        </w:rPr>
        <w:t>Geräte ohne Bediener kaufen.</w:t>
      </w:r>
      <w:r>
        <w:t xml:space="preserve"> Die Anlage steht, das Wissen fehlt.</w:t>
      </w:r>
    </w:p>
    <w:p>
      <w:pPr>
        <w:tabs>
          <w:tab w:pos="340" w:val="left"/>
        </w:tabs>
        <w:ind w:left="340" w:hanging="340"/>
      </w:pPr>
      <w:r>
        <w:rPr>
          <w:color w:val="8C5A2B"/>
        </w:rPr>
        <w:t>–</w:t>
        <w:tab/>
      </w:r>
      <w:r>
        <w:rPr>
          <w:b/>
        </w:rPr>
        <w:t>Das Ende nicht planen.</w:t>
      </w:r>
      <w:r>
        <w:t xml:space="preserve"> Was nach fünf Jahren überholt ist, wird zu Abfall, den niemand eingeplant hat.</w:t>
      </w:r>
    </w:p>
    <w:p>
      <w:pPr>
        <w:tabs>
          <w:tab w:pos="340" w:val="left"/>
        </w:tabs>
        <w:ind w:left="340" w:hanging="340"/>
      </w:pPr>
      <w:r>
        <w:rPr>
          <w:color w:val="8C5A2B"/>
        </w:rPr>
        <w:t>–</w:t>
        <w:tab/>
      </w:r>
      <w:r>
        <w:rPr>
          <w:b/>
        </w:rPr>
        <w:t>Nachhaltigkeit als eigene Budgetzeile führen.</w:t>
      </w:r>
      <w:r>
        <w:t xml:space="preserve"> Sie wird als erste gestrichen.</w:t>
      </w:r>
    </w:p>
    <w:p>
      <w:pPr>
        <w:tabs>
          <w:tab w:pos="340" w:val="left"/>
        </w:tabs>
        <w:ind w:left="340" w:hanging="340"/>
      </w:pPr>
      <w:r>
        <w:rPr>
          <w:color w:val="8C5A2B"/>
        </w:rPr>
        <w:t>–</w:t>
        <w:tab/>
      </w:r>
      <w:r>
        <w:rPr>
          <w:b/>
        </w:rPr>
        <w:t>Die Investition ankündigen, bevor sie läuft.</w:t>
      </w:r>
      <w:r>
        <w:t xml:space="preserve"> Eine Aussage über künftige Umweltleistung braucht einen Plan und eine Prüfung.</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Antrag A: Kauf und Umbau</w:t>
            </w:r>
          </w:p>
        </w:tc>
        <w:tc>
          <w:tcPr>
            <w:tcW w:type="dxa" w:w="1474"/>
          </w:tcPr>
          <w:p>
            <w:pPr>
              <w:spacing w:after="0" w:before="0"/>
            </w:pPr>
            <w:r/>
            <w:r>
              <w:rPr>
                <w:b w:val="0"/>
                <w:i w:val="0"/>
                <w:color w:val="1A1A1A"/>
                <w:sz w:val="18"/>
              </w:rPr>
              <w:t>€ 145.000</w:t>
            </w:r>
          </w:p>
        </w:tc>
        <w:tc>
          <w:tcPr>
            <w:tcW w:type="dxa" w:w="3175"/>
          </w:tcPr>
          <w:p>
            <w:pPr>
              <w:spacing w:after="0" w:before="0"/>
            </w:pPr>
            <w:r/>
            <w:r>
              <w:rPr>
                <w:b w:val="0"/>
                <w:i w:val="0"/>
                <w:color w:val="1A1A1A"/>
                <w:sz w:val="18"/>
              </w:rPr>
              <w:t>einmalig; Maschine etwa 15, Geschirr etwa 8 Jahre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Antrag A: vermiedene Einweg-, Miet- und Entsorgungskosten</w:t>
            </w:r>
          </w:p>
        </w:tc>
        <w:tc>
          <w:tcPr>
            <w:tcW w:type="dxa" w:w="1474"/>
            <w:shd w:val="clear" w:color="auto" w:fill="F3EFE6"/>
          </w:tcPr>
          <w:p>
            <w:pPr>
              <w:spacing w:after="0" w:before="0"/>
            </w:pPr>
            <w:r/>
            <w:r>
              <w:rPr>
                <w:b w:val="0"/>
                <w:i w:val="0"/>
                <w:color w:val="1A1A1A"/>
                <w:sz w:val="18"/>
              </w:rPr>
              <w:t>€ 24.000</w:t>
            </w:r>
          </w:p>
        </w:tc>
        <w:tc>
          <w:tcPr>
            <w:tcW w:type="dxa" w:w="3175"/>
            <w:shd w:val="clear" w:color="auto" w:fill="F3EFE6"/>
          </w:tcPr>
          <w:p>
            <w:pPr>
              <w:spacing w:after="0" w:before="0"/>
            </w:pPr>
            <w:r/>
            <w:r>
              <w:rPr>
                <w:b w:val="0"/>
                <w:i w:val="0"/>
                <w:color w:val="1A1A1A"/>
                <w:sz w:val="18"/>
              </w:rPr>
              <w:t>jährlich, laut Vorlage der Controllerin; vermiedene Kosten vor Personal, Wasser und Energie der Spülstraße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Antrag B nach Vorlage: 25 hybride Veranstaltungen zu € 2.200</w:t>
            </w:r>
          </w:p>
        </w:tc>
        <w:tc>
          <w:tcPr>
            <w:tcW w:type="dxa" w:w="1474"/>
          </w:tcPr>
          <w:p>
            <w:pPr>
              <w:spacing w:after="0" w:before="0"/>
            </w:pPr>
            <w:r/>
            <w:r>
              <w:rPr>
                <w:b w:val="0"/>
                <w:i w:val="0"/>
                <w:color w:val="1A1A1A"/>
                <w:sz w:val="18"/>
              </w:rPr>
              <w:t>€ 55.000</w:t>
            </w:r>
          </w:p>
        </w:tc>
        <w:tc>
          <w:tcPr>
            <w:tcW w:type="dxa" w:w="3175"/>
          </w:tcPr>
          <w:p>
            <w:pPr>
              <w:spacing w:after="0" w:before="0"/>
            </w:pPr>
            <w:r/>
            <w:r>
              <w:rPr>
                <w:b w:val="0"/>
                <w:i w:val="0"/>
                <w:color w:val="1A1A1A"/>
                <w:sz w:val="18"/>
              </w:rPr>
              <w:t>jährlich, Annahme des Verkaufs; Erlös aus dem Aufpreis, vor Bediener und Wartung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Antrag B nach Vorjahr: 8 Veranstaltungen zu € 2.200</w:t>
            </w:r>
          </w:p>
        </w:tc>
        <w:tc>
          <w:tcPr>
            <w:tcW w:type="dxa" w:w="1474"/>
            <w:shd w:val="clear" w:color="auto" w:fill="F3EFE6"/>
          </w:tcPr>
          <w:p>
            <w:pPr>
              <w:spacing w:after="0" w:before="0"/>
            </w:pPr>
            <w:r/>
            <w:r>
              <w:rPr>
                <w:b w:val="0"/>
                <w:i w:val="0"/>
                <w:color w:val="1A1A1A"/>
                <w:sz w:val="18"/>
              </w:rPr>
              <w:t>€ 17.600</w:t>
            </w:r>
          </w:p>
        </w:tc>
        <w:tc>
          <w:tcPr>
            <w:tcW w:type="dxa" w:w="3175"/>
            <w:shd w:val="clear" w:color="auto" w:fill="F3EFE6"/>
          </w:tcPr>
          <w:p>
            <w:pPr>
              <w:spacing w:after="0" w:before="0"/>
            </w:pPr>
            <w:r/>
            <w:r>
              <w:rPr>
                <w:b w:val="0"/>
                <w:i w:val="0"/>
                <w:color w:val="1A1A1A"/>
                <w:sz w:val="18"/>
              </w:rPr>
              <w:t>jährlich; Rückfluss über 9 Jahre bei etwa 5 Jahren Lebensdauer</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Mietlösung mit Partner: 8 Veranstaltungen zu € 1.400</w:t>
            </w:r>
          </w:p>
        </w:tc>
        <w:tc>
          <w:tcPr>
            <w:tcW w:type="dxa" w:w="1474"/>
          </w:tcPr>
          <w:p>
            <w:pPr>
              <w:spacing w:after="0" w:before="0"/>
            </w:pPr>
            <w:r/>
            <w:r>
              <w:rPr>
                <w:b w:val="0"/>
                <w:i w:val="0"/>
                <w:color w:val="1A1A1A"/>
                <w:sz w:val="18"/>
              </w:rPr>
              <w:t>€ 11.200</w:t>
            </w:r>
          </w:p>
        </w:tc>
        <w:tc>
          <w:tcPr>
            <w:tcW w:type="dxa" w:w="3175"/>
          </w:tcPr>
          <w:p>
            <w:pPr>
              <w:spacing w:after="0" w:before="0"/>
            </w:pPr>
            <w:r/>
            <w:r>
              <w:rPr>
                <w:b w:val="0"/>
                <w:i w:val="0"/>
                <w:color w:val="1A1A1A"/>
                <w:sz w:val="18"/>
              </w:rPr>
              <w:t>jährlich, Kosten des Hauses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Schulung eines Mitarbeiters für Übertragungen</w:t>
            </w:r>
          </w:p>
        </w:tc>
        <w:tc>
          <w:tcPr>
            <w:tcW w:type="dxa" w:w="1474"/>
            <w:shd w:val="clear" w:color="auto" w:fill="F3EFE6"/>
          </w:tcPr>
          <w:p>
            <w:pPr>
              <w:spacing w:after="0" w:before="0"/>
            </w:pPr>
            <w:r/>
            <w:r>
              <w:rPr>
                <w:b w:val="0"/>
                <w:i w:val="0"/>
                <w:color w:val="1A1A1A"/>
                <w:sz w:val="18"/>
              </w:rPr>
              <w:t>€ 8.000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Antrag C, zusammen mit der Lüftung 2028</w:t>
            </w:r>
          </w:p>
        </w:tc>
        <w:tc>
          <w:tcPr>
            <w:tcW w:type="dxa" w:w="1474"/>
          </w:tcPr>
          <w:p>
            <w:pPr>
              <w:spacing w:after="0" w:before="0"/>
            </w:pPr>
            <w:r/>
            <w:r>
              <w:rPr>
                <w:b w:val="0"/>
                <w:i w:val="0"/>
                <w:color w:val="1A1A1A"/>
                <w:sz w:val="18"/>
              </w:rPr>
              <w:t>€ 180.000</w:t>
            </w:r>
          </w:p>
        </w:tc>
        <w:tc>
          <w:tcPr>
            <w:tcW w:type="dxa" w:w="3175"/>
          </w:tcPr>
          <w:p>
            <w:pPr>
              <w:spacing w:after="0" w:before="0"/>
            </w:pPr>
            <w:r/>
            <w:r>
              <w:rPr>
                <w:b w:val="0"/>
                <w:i w:val="0"/>
                <w:color w:val="1A1A1A"/>
                <w:sz w:val="18"/>
              </w:rPr>
              <w:t>verschoben; Küche wird einmal geöffnet</w:t>
            </w:r>
          </w:p>
        </w:tc>
        <w:tc>
          <w:tcPr>
            <w:tcW w:type="dxa" w:w="1814"/>
          </w:tcPr>
          <w:p>
            <w:pPr>
              <w:spacing w:after="0" w:before="0"/>
            </w:pPr>
            <w:r/>
            <w:r>
              <w:rPr>
                <w:b w:val="0"/>
                <w:i w:val="0"/>
                <w:color w:val="1A1A1A"/>
                <w:sz w:val="18"/>
              </w:rPr>
            </w:r>
          </w:p>
        </w:tc>
      </w:tr>
    </w:tbl>
    <w:p>
      <w:pPr>
        <w:spacing w:after="40"/>
      </w:pPr>
    </w:p>
    <w:p>
      <w:r>
        <w:rPr>
          <w:b w:val="0"/>
          <w:i w:val="0"/>
        </w:rPr>
        <w:t>Die Zahlen zeigen keine richtige Antwort, sondern einen anderen Vergleich. Die Zeilen sind dabei nicht gleichartig. Bei Antrag A stehen vermiedene Kosten, bei Antrag B Erlöse aus dem Aufpreis, bei der Mietlösung Kosten des Hauses. Vergleichbar wird das erst als Marge nach den laufenden Kosten: bei A abzüglich der zwei zusätzlichen Kräfte in der Spülküche, Wasser und Energie, bei B abzüglich Bediener, Wartung und Energie. Beide Amortisationen der Vorlage sind deshalb eher zu kurz gerechnet. Bei acht hybriden Veranstaltungen im Jahr bleibt dem Haus mit der Mietlösung an jeder Veranstaltung die Differenz zwischen Aufpreis und Miete, vor den eigenen Stunden, und es behält einen geschulten Mitarbeiter. Ob sich der Kauf später lohnt, zeigen die Buchungen der nächsten zwei Jahre.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Ressourcen bereitstellen durch die Leitung (5.1 c)</w:t>
            </w:r>
          </w:p>
        </w:tc>
        <w:tc>
          <w:tcPr>
            <w:tcW w:type="dxa" w:w="3175"/>
          </w:tcPr>
          <w:p>
            <w:pPr>
              <w:spacing w:after="0" w:before="0"/>
            </w:pPr>
            <w:r/>
            <w:r>
              <w:rPr>
                <w:b w:val="0"/>
                <w:i w:val="0"/>
                <w:color w:val="1A1A1A"/>
                <w:sz w:val="18"/>
              </w:rPr>
              <w:t>Budgetbeschluss des Eigentümers</w:t>
            </w:r>
          </w:p>
        </w:tc>
        <w:tc>
          <w:tcPr>
            <w:tcW w:type="dxa" w:w="3175"/>
          </w:tcPr>
          <w:p>
            <w:pPr>
              <w:spacing w:after="0" w:before="0"/>
            </w:pPr>
            <w:r/>
            <w:r>
              <w:rPr>
                <w:b w:val="0"/>
                <w:i w:val="0"/>
                <w:color w:val="1A1A1A"/>
                <w:sz w:val="18"/>
              </w:rPr>
              <w:t>Kosten-Nutzen, Liquidität, Ruf (A.13 c)</w:t>
            </w:r>
          </w:p>
        </w:tc>
      </w:tr>
      <w:tr>
        <w:trPr>
          <w:cantSplit w:val="true"/>
        </w:trPr>
        <w:tc>
          <w:tcPr>
            <w:tcW w:type="dxa" w:w="3288"/>
            <w:shd w:val="clear" w:color="auto" w:fill="F3EFE6"/>
          </w:tcPr>
          <w:p>
            <w:pPr>
              <w:spacing w:after="0" w:before="0"/>
            </w:pPr>
            <w:r/>
            <w:r>
              <w:rPr>
                <w:b w:val="0"/>
                <w:i w:val="0"/>
                <w:color w:val="1A1A1A"/>
                <w:sz w:val="18"/>
              </w:rPr>
              <w:t>Ressourcen bestimmen und bereitstellen (7.1)</w:t>
            </w:r>
          </w:p>
        </w:tc>
        <w:tc>
          <w:tcPr>
            <w:tcW w:type="dxa" w:w="3175"/>
            <w:shd w:val="clear" w:color="auto" w:fill="F3EFE6"/>
          </w:tcPr>
          <w:p>
            <w:pPr>
              <w:spacing w:after="0" w:before="0"/>
            </w:pPr>
            <w:r/>
            <w:r>
              <w:rPr>
                <w:b w:val="0"/>
                <w:i w:val="0"/>
                <w:color w:val="1A1A1A"/>
                <w:sz w:val="18"/>
              </w:rPr>
              <w:t>Ressourcenplan je Investition</w:t>
            </w:r>
          </w:p>
        </w:tc>
        <w:tc>
          <w:tcPr>
            <w:tcW w:type="dxa" w:w="3175"/>
            <w:shd w:val="clear" w:color="auto" w:fill="F3EFE6"/>
          </w:tcPr>
          <w:p>
            <w:pPr>
              <w:spacing w:after="0" w:before="0"/>
            </w:pPr>
            <w:r/>
            <w:r>
              <w:rPr>
                <w:b w:val="0"/>
                <w:i w:val="0"/>
                <w:color w:val="1A1A1A"/>
                <w:sz w:val="18"/>
              </w:rPr>
              <w:t>Plan bis Wiederverwendung oder Entsorgung (A.13 b)</w:t>
            </w:r>
          </w:p>
        </w:tc>
      </w:tr>
      <w:tr>
        <w:trPr>
          <w:cantSplit w:val="true"/>
        </w:trPr>
        <w:tc>
          <w:tcPr>
            <w:tcW w:type="dxa" w:w="3288"/>
          </w:tcPr>
          <w:p>
            <w:pPr>
              <w:spacing w:after="0" w:before="0"/>
            </w:pPr>
            <w:r/>
            <w:r>
              <w:rPr>
                <w:b w:val="0"/>
                <w:i w:val="0"/>
                <w:color w:val="1A1A1A"/>
                <w:sz w:val="18"/>
              </w:rPr>
              <w:t>Kompetenz bestimmen und sicherstellen (7.2)</w:t>
            </w:r>
          </w:p>
        </w:tc>
        <w:tc>
          <w:tcPr>
            <w:tcW w:type="dxa" w:w="3175"/>
          </w:tcPr>
          <w:p>
            <w:pPr>
              <w:spacing w:after="0" w:before="0"/>
            </w:pPr>
            <w:r/>
            <w:r>
              <w:rPr>
                <w:b w:val="0"/>
                <w:i w:val="0"/>
                <w:color w:val="1A1A1A"/>
                <w:sz w:val="18"/>
              </w:rPr>
              <w:t>Schulungsnachweis des Bedieners</w:t>
            </w:r>
          </w:p>
        </w:tc>
        <w:tc>
          <w:tcPr>
            <w:tcW w:type="dxa" w:w="3175"/>
          </w:tcPr>
          <w:p>
            <w:pPr>
              <w:spacing w:after="0" w:before="0"/>
            </w:pPr>
            <w:r/>
            <w:r>
              <w:rPr>
                <w:b w:val="0"/>
                <w:i w:val="0"/>
                <w:color w:val="1A1A1A"/>
                <w:sz w:val="18"/>
              </w:rPr>
              <w:t>Kosten gegen zurückbleibendes Wissen (A.13 a)</w:t>
            </w:r>
          </w:p>
        </w:tc>
      </w:tr>
      <w:tr>
        <w:trPr>
          <w:cantSplit w:val="true"/>
        </w:trPr>
        <w:tc>
          <w:tcPr>
            <w:tcW w:type="dxa" w:w="3288"/>
            <w:shd w:val="clear" w:color="auto" w:fill="F3EFE6"/>
          </w:tcPr>
          <w:p>
            <w:pPr>
              <w:spacing w:after="0" w:before="0"/>
            </w:pPr>
            <w:r/>
            <w:r>
              <w:rPr>
                <w:b w:val="0"/>
                <w:i w:val="0"/>
                <w:color w:val="1A1A1A"/>
                <w:sz w:val="18"/>
              </w:rPr>
              <w:t>Themen identifizieren, auch digitale Verantwortung (6.1.2)</w:t>
            </w:r>
          </w:p>
        </w:tc>
        <w:tc>
          <w:tcPr>
            <w:tcW w:type="dxa" w:w="3175"/>
            <w:shd w:val="clear" w:color="auto" w:fill="F3EFE6"/>
          </w:tcPr>
          <w:p>
            <w:pPr>
              <w:spacing w:after="0" w:before="0"/>
            </w:pPr>
            <w:r/>
            <w:r>
              <w:rPr>
                <w:b w:val="0"/>
                <w:i w:val="0"/>
                <w:color w:val="1A1A1A"/>
                <w:sz w:val="18"/>
              </w:rPr>
              <w:t>Themenliste mit Datenschutz bei Übertragungen</w:t>
            </w:r>
          </w:p>
        </w:tc>
        <w:tc>
          <w:tcPr>
            <w:tcW w:type="dxa" w:w="3175"/>
            <w:shd w:val="clear" w:color="auto" w:fill="F3EFE6"/>
          </w:tcPr>
          <w:p>
            <w:pPr>
              <w:spacing w:after="0" w:before="0"/>
            </w:pPr>
            <w:r/>
            <w:r>
              <w:rPr>
                <w:b w:val="0"/>
                <w:i w:val="0"/>
                <w:color w:val="1A1A1A"/>
                <w:sz w:val="18"/>
              </w:rPr>
              <w:t>keine</w:t>
            </w:r>
          </w:p>
        </w:tc>
      </w:tr>
      <w:tr>
        <w:trPr>
          <w:cantSplit w:val="true"/>
        </w:trPr>
        <w:tc>
          <w:tcPr>
            <w:tcW w:type="dxa" w:w="3288"/>
          </w:tcPr>
          <w:p>
            <w:pPr>
              <w:spacing w:after="0" w:before="0"/>
            </w:pPr>
            <w:r/>
            <w:r>
              <w:rPr>
                <w:b w:val="0"/>
                <w:i w:val="0"/>
                <w:color w:val="1A1A1A"/>
                <w:sz w:val="18"/>
              </w:rPr>
              <w:t>Ergebnisse, Lehren, wo angemessen Vermächtnis bewerten (5.2 e)</w:t>
            </w:r>
          </w:p>
        </w:tc>
        <w:tc>
          <w:tcPr>
            <w:tcW w:type="dxa" w:w="3175"/>
          </w:tcPr>
          <w:p>
            <w:pPr>
              <w:spacing w:after="0" w:before="0"/>
            </w:pPr>
            <w:r/>
            <w:r>
              <w:rPr>
                <w:b w:val="0"/>
                <w:i w:val="0"/>
                <w:color w:val="1A1A1A"/>
                <w:sz w:val="18"/>
              </w:rPr>
              <w:t>Nutzungsbericht nach zwei Jahren</w:t>
            </w:r>
          </w:p>
        </w:tc>
        <w:tc>
          <w:tcPr>
            <w:tcW w:type="dxa" w:w="3175"/>
          </w:tcPr>
          <w:p>
            <w:pPr>
              <w:spacing w:after="0" w:before="0"/>
            </w:pPr>
            <w:r/>
            <w:r>
              <w:rPr>
                <w:b w:val="0"/>
                <w:i w:val="0"/>
                <w:color w:val="1A1A1A"/>
                <w:sz w:val="18"/>
              </w:rPr>
              <w:t>Vermächtnis-Themen wie Anlagen und Fähigkeiten (A.8)</w:t>
            </w:r>
          </w:p>
        </w:tc>
      </w:tr>
    </w:tbl>
    <w:p>
      <w:pPr>
        <w:spacing w:after="40"/>
      </w:pPr>
    </w:p>
    <w:p>
      <w:pPr>
        <w:pStyle w:val="Heading2"/>
      </w:pPr>
      <w:r>
        <w:t>DACH-Anker: was das Recht an einer Investition berührt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Aussage über künftige Umweltleistung</w:t>
            </w:r>
          </w:p>
        </w:tc>
        <w:tc>
          <w:tcPr>
            <w:tcW w:type="dxa" w:w="2721"/>
          </w:tcPr>
          <w:p>
            <w:pPr>
              <w:spacing w:after="0" w:before="0"/>
            </w:pPr>
            <w:r/>
            <w:r>
              <w:rPr>
                <w:b w:val="0"/>
                <w:i w:val="0"/>
                <w:color w:val="1A1A1A"/>
                <w:sz w:val="17"/>
              </w:rPr>
              <w:t>gegenüber Verbrauchern nur mit Umsetzungsplan, messbaren Zielen, externer Überprüfung (§ 5 Abs. 3 Nr. 4 UWG), ab 27. September 2026</w:t>
            </w:r>
          </w:p>
        </w:tc>
        <w:tc>
          <w:tcPr>
            <w:tcW w:type="dxa" w:w="2721"/>
          </w:tcPr>
          <w:p>
            <w:pPr>
              <w:spacing w:after="0" w:before="0"/>
            </w:pPr>
            <w:r/>
            <w:r>
              <w:rPr>
                <w:b w:val="0"/>
                <w:i w:val="0"/>
                <w:color w:val="1A1A1A"/>
                <w:sz w:val="17"/>
              </w:rPr>
              <w:t>UWG-Novelle BGBl. I Nr. 58/2026, gleicher Inhalt, ab 27. September 2026</w:t>
            </w:r>
          </w:p>
        </w:tc>
        <w:tc>
          <w:tcPr>
            <w:tcW w:type="dxa" w:w="2721"/>
          </w:tcPr>
          <w:p>
            <w:pPr>
              <w:spacing w:after="0" w:before="0"/>
            </w:pPr>
            <w:r/>
            <w:r>
              <w:rPr>
                <w:b w:val="0"/>
                <w:i w:val="0"/>
                <w:color w:val="1A1A1A"/>
                <w:sz w:val="17"/>
              </w:rPr>
              <w:t>Klimawirkung nur mit objektiven, überprüfbaren Grundlagen (Art. 3 Abs. 1 lit. x UWG)</w:t>
            </w:r>
          </w:p>
        </w:tc>
      </w:tr>
      <w:tr>
        <w:trPr>
          <w:cantSplit w:val="true"/>
        </w:trPr>
        <w:tc>
          <w:tcPr>
            <w:tcW w:type="dxa" w:w="1474"/>
            <w:shd w:val="clear" w:color="auto" w:fill="F3EFE6"/>
          </w:tcPr>
          <w:p>
            <w:pPr>
              <w:spacing w:after="0" w:before="0"/>
            </w:pPr>
            <w:r/>
            <w:r>
              <w:rPr>
                <w:b w:val="0"/>
                <w:i w:val="0"/>
                <w:color w:val="1A1A1A"/>
                <w:sz w:val="17"/>
              </w:rPr>
              <w:t>Online-Buchung</w:t>
            </w:r>
          </w:p>
        </w:tc>
        <w:tc>
          <w:tcPr>
            <w:tcW w:type="dxa" w:w="2721"/>
            <w:shd w:val="clear" w:color="auto" w:fill="F3EFE6"/>
          </w:tcPr>
          <w:p>
            <w:pPr>
              <w:spacing w:after="0" w:before="0"/>
            </w:pPr>
            <w:r/>
            <w:r>
              <w:rPr>
                <w:b w:val="0"/>
                <w:i w:val="0"/>
                <w:color w:val="1A1A1A"/>
                <w:sz w:val="17"/>
              </w:rPr>
              <w:t>Barrierefreiheitsstärkungsgesetz, seit 28. Juni 2025</w:t>
            </w:r>
          </w:p>
        </w:tc>
        <w:tc>
          <w:tcPr>
            <w:tcW w:type="dxa" w:w="2721"/>
            <w:shd w:val="clear" w:color="auto" w:fill="F3EFE6"/>
          </w:tcPr>
          <w:p>
            <w:pPr>
              <w:spacing w:after="0" w:before="0"/>
            </w:pPr>
            <w:r/>
            <w:r>
              <w:rPr>
                <w:b w:val="0"/>
                <w:i w:val="0"/>
                <w:color w:val="1A1A1A"/>
                <w:sz w:val="17"/>
              </w:rPr>
              <w:t>Barrierefreiheitsgesetz, seit 28. Juni 2025, ausdrücklich Buchungsmöglichkeiten von Hotels</w:t>
            </w:r>
          </w:p>
        </w:tc>
        <w:tc>
          <w:tcPr>
            <w:tcW w:type="dxa" w:w="2721"/>
            <w:shd w:val="clear" w:color="auto" w:fill="F3EFE6"/>
          </w:tcPr>
          <w:p>
            <w:pPr>
              <w:spacing w:after="0" w:before="0"/>
            </w:pPr>
            <w:r/>
            <w:r>
              <w:rPr>
                <w:b w:val="0"/>
                <w:i w:val="0"/>
                <w:color w:val="1A1A1A"/>
                <w:sz w:val="17"/>
              </w:rPr>
              <w:t>europäisches Barrierefreiheitsrecht gilt nicht</w:t>
            </w:r>
          </w:p>
        </w:tc>
      </w:tr>
      <w:tr>
        <w:trPr>
          <w:cantSplit w:val="true"/>
        </w:trPr>
        <w:tc>
          <w:tcPr>
            <w:tcW w:type="dxa" w:w="1474"/>
          </w:tcPr>
          <w:p>
            <w:pPr>
              <w:spacing w:after="0" w:before="0"/>
            </w:pPr>
            <w:r/>
            <w:r>
              <w:rPr>
                <w:b w:val="0"/>
                <w:i w:val="0"/>
                <w:color w:val="1A1A1A"/>
                <w:sz w:val="17"/>
              </w:rPr>
              <w:t>Aufzeichnung und Übertragung</w:t>
            </w:r>
          </w:p>
        </w:tc>
        <w:tc>
          <w:tcPr>
            <w:tcW w:type="dxa" w:w="2721"/>
          </w:tcPr>
          <w:p>
            <w:pPr>
              <w:spacing w:after="0" w:before="0"/>
            </w:pPr>
            <w:r/>
            <w:r>
              <w:rPr>
                <w:b w:val="0"/>
                <w:i w:val="0"/>
                <w:color w:val="1A1A1A"/>
                <w:sz w:val="17"/>
              </w:rPr>
              <w:t>Datenschutz-Grundverordnung</w:t>
            </w:r>
          </w:p>
        </w:tc>
        <w:tc>
          <w:tcPr>
            <w:tcW w:type="dxa" w:w="2721"/>
          </w:tcPr>
          <w:p>
            <w:pPr>
              <w:spacing w:after="0" w:before="0"/>
            </w:pPr>
            <w:r/>
            <w:r>
              <w:rPr>
                <w:b w:val="0"/>
                <w:i w:val="0"/>
                <w:color w:val="1A1A1A"/>
                <w:sz w:val="17"/>
              </w:rPr>
              <w:t>Datenschutz-Grundverordnung</w:t>
            </w:r>
          </w:p>
        </w:tc>
        <w:tc>
          <w:tcPr>
            <w:tcW w:type="dxa" w:w="2721"/>
          </w:tcPr>
          <w:p>
            <w:pPr>
              <w:spacing w:after="0" w:before="0"/>
            </w:pPr>
            <w:r/>
            <w:r>
              <w:rPr>
                <w:b w:val="0"/>
                <w:i w:val="0"/>
                <w:color w:val="1A1A1A"/>
                <w:sz w:val="17"/>
              </w:rPr>
              <w:t>Datenschutzgesetz, revidiert, in Kraft seit 1. September 2023</w:t>
            </w:r>
          </w:p>
        </w:tc>
      </w:tr>
      <w:tr>
        <w:trPr>
          <w:cantSplit w:val="true"/>
        </w:trPr>
        <w:tc>
          <w:tcPr>
            <w:tcW w:type="dxa" w:w="1474"/>
            <w:shd w:val="clear" w:color="auto" w:fill="F3EFE6"/>
          </w:tcPr>
          <w:p>
            <w:pPr>
              <w:spacing w:after="0" w:before="0"/>
            </w:pPr>
            <w:r/>
            <w:r>
              <w:rPr>
                <w:b w:val="0"/>
                <w:i w:val="0"/>
                <w:color w:val="1A1A1A"/>
                <w:sz w:val="17"/>
              </w:rPr>
              <w:t>Berichtspflicht über Investitionen</w:t>
            </w:r>
          </w:p>
        </w:tc>
        <w:tc>
          <w:tcPr>
            <w:tcW w:type="dxa" w:w="2721"/>
            <w:shd w:val="clear" w:color="auto" w:fill="F3EFE6"/>
          </w:tcPr>
          <w:p>
            <w:pPr>
              <w:spacing w:after="0" w:before="0"/>
            </w:pPr>
            <w:r/>
            <w:r>
              <w:rPr>
                <w:b w:val="0"/>
                <w:i w:val="0"/>
                <w:color w:val="1A1A1A"/>
                <w:sz w:val="17"/>
              </w:rPr>
              <w:t>CSRD künftig erst ab mehr als 1.000 Beschäftigten und 450 Mio. Euro Umsatz (Omnibus I, nach Umsetzung in nationales Recht)</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Art. 964a ff. OR für große Gesellschaften des öffentlichen Interesses</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1.8.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1.8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1.8 — Eine Investition für das Veranstaltungsgeschäft prüfen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