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1.9</w:t>
      </w:r>
    </w:p>
    <w:p>
      <w:pPr>
        <w:pStyle w:val="Heading1"/>
      </w:pPr>
      <w:r>
        <w:t>Die Auswirkungen eines großen Kongresses bewerten</w:t>
      </w:r>
    </w:p>
    <w:p>
      <w:pPr>
        <w:spacing w:after="0"/>
      </w:pPr>
      <w:r>
        <w:rPr>
          <w:b w:val="0"/>
          <w:i/>
          <w:color w:val="5A5A5A"/>
        </w:rPr>
        <w:t>Abschnitt 1.9 · Ökologische, soziale und wirtschaftliche Auswirkungen bewerten</w:t>
      </w:r>
    </w:p>
    <w:p>
      <w:pPr>
        <w:spacing w:after="160"/>
      </w:pPr>
      <w:r>
        <w:rPr>
          <w:b w:val="0"/>
          <w:i w:val="0"/>
          <w:color w:val="5A5A5A"/>
          <w:sz w:val="18"/>
        </w:rPr>
        <w:t>Modellfall im Buch: Bamberg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eine Veranstaltung größer ist als Ihr Haus: Welche ihrer Wirkungen zählen Sie zu den Ihren? Und nach welchen Kriterien entscheiden Sie, welche davon von Bedeutung sind, und wer außer Ihnen kennt diese Kriterien?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Kriterien der Bedeutung und woher sie kommen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Kriterium</w:t>
            </w:r>
          </w:p>
        </w:tc>
        <w:tc>
          <w:tcPr>
            <w:tcW w:type="dxa" w:w="3213"/>
            <w:shd w:val="clear" w:color="auto" w:fill="8C5A2B"/>
          </w:tcPr>
          <w:p>
            <w:pPr>
              <w:spacing w:after="0" w:before="0"/>
            </w:pPr>
            <w:r/>
            <w:r>
              <w:rPr>
                <w:b/>
                <w:i w:val="0"/>
                <w:color w:val="FFFFFF"/>
                <w:sz w:val="18"/>
              </w:rPr>
              <w:t>Grundlage</w:t>
            </w:r>
          </w:p>
        </w:tc>
        <w:tc>
          <w:tcPr>
            <w:tcW w:type="dxa" w:w="3213"/>
            <w:shd w:val="clear" w:color="auto" w:fill="8C5A2B"/>
          </w:tcPr>
          <w:p>
            <w:pPr>
              <w:spacing w:after="0" w:before="0"/>
            </w:pPr>
            <w:r/>
            <w:r>
              <w:rPr>
                <w:b/>
                <w:i w:val="0"/>
                <w:color w:val="FFFFFF"/>
                <w:sz w:val="18"/>
              </w:rPr>
              <w:t>Im Fall Bamberg</w:t>
            </w:r>
          </w:p>
        </w:tc>
      </w:tr>
      <w:tr>
        <w:trPr>
          <w:cantSplit w:val="true"/>
        </w:trPr>
        <w:tc>
          <w:tcPr>
            <w:tcW w:type="dxa" w:w="3213"/>
          </w:tcPr>
          <w:p>
            <w:pPr>
              <w:spacing w:after="0" w:before="0"/>
            </w:pPr>
            <w:r/>
            <w:r>
              <w:rPr>
                <w:b w:val="0"/>
                <w:i w:val="0"/>
                <w:color w:val="1A1A1A"/>
                <w:sz w:val="18"/>
              </w:rPr>
              <w:t>Rückmeldungen der Betroffenen</w:t>
            </w:r>
          </w:p>
        </w:tc>
        <w:tc>
          <w:tcPr>
            <w:tcW w:type="dxa" w:w="3213"/>
          </w:tcPr>
          <w:p>
            <w:pPr>
              <w:spacing w:after="0" w:before="0"/>
            </w:pPr>
            <w:r/>
            <w:r>
              <w:rPr>
                <w:b w:val="0"/>
                <w:i w:val="0"/>
                <w:color w:val="1A1A1A"/>
                <w:sz w:val="18"/>
              </w:rPr>
              <w:t>verlangt (6.1.2)</w:t>
            </w:r>
          </w:p>
        </w:tc>
        <w:tc>
          <w:tcPr>
            <w:tcW w:type="dxa" w:w="3213"/>
          </w:tcPr>
          <w:p>
            <w:pPr>
              <w:spacing w:after="0" w:before="0"/>
            </w:pPr>
            <w:r/>
            <w:r>
              <w:rPr>
                <w:b w:val="0"/>
                <w:i w:val="0"/>
                <w:color w:val="1A1A1A"/>
                <w:sz w:val="18"/>
              </w:rPr>
              <w:t>Anwohnerbrief vom Herbst, Gespräch mit der Agentur</w:t>
            </w:r>
          </w:p>
        </w:tc>
      </w:tr>
      <w:tr>
        <w:trPr>
          <w:cantSplit w:val="true"/>
        </w:trPr>
        <w:tc>
          <w:tcPr>
            <w:tcW w:type="dxa" w:w="3213"/>
            <w:shd w:val="clear" w:color="auto" w:fill="F3EFE6"/>
          </w:tcPr>
          <w:p>
            <w:pPr>
              <w:spacing w:after="0" w:before="0"/>
            </w:pPr>
            <w:r/>
            <w:r>
              <w:rPr>
                <w:b w:val="0"/>
                <w:i w:val="0"/>
                <w:color w:val="1A1A1A"/>
                <w:sz w:val="18"/>
              </w:rPr>
              <w:t>Neue und aufkommende Themen</w:t>
            </w:r>
          </w:p>
        </w:tc>
        <w:tc>
          <w:tcPr>
            <w:tcW w:type="dxa" w:w="3213"/>
            <w:shd w:val="clear" w:color="auto" w:fill="F3EFE6"/>
          </w:tcPr>
          <w:p>
            <w:pPr>
              <w:spacing w:after="0" w:before="0"/>
            </w:pPr>
            <w:r/>
            <w:r>
              <w:rPr>
                <w:b w:val="0"/>
                <w:i w:val="0"/>
                <w:color w:val="1A1A1A"/>
                <w:sz w:val="18"/>
              </w:rPr>
              <w:t>verlangt (6.1.2)</w:t>
            </w:r>
          </w:p>
        </w:tc>
        <w:tc>
          <w:tcPr>
            <w:tcW w:type="dxa" w:w="3213"/>
            <w:shd w:val="clear" w:color="auto" w:fill="F3EFE6"/>
          </w:tcPr>
          <w:p>
            <w:pPr>
              <w:spacing w:after="0" w:before="0"/>
            </w:pPr>
            <w:r/>
            <w:r>
              <w:rPr>
                <w:b w:val="0"/>
                <w:i w:val="0"/>
                <w:color w:val="1A1A1A"/>
                <w:sz w:val="18"/>
              </w:rPr>
              <w:t>Daten der Teilnehmer bei Übertragung und Registrierung</w:t>
            </w:r>
          </w:p>
        </w:tc>
      </w:tr>
      <w:tr>
        <w:trPr>
          <w:cantSplit w:val="true"/>
        </w:trPr>
        <w:tc>
          <w:tcPr>
            <w:tcW w:type="dxa" w:w="3213"/>
          </w:tcPr>
          <w:p>
            <w:pPr>
              <w:spacing w:after="0" w:before="0"/>
            </w:pPr>
            <w:r/>
            <w:r>
              <w:rPr>
                <w:b w:val="0"/>
                <w:i w:val="0"/>
                <w:color w:val="1A1A1A"/>
                <w:sz w:val="18"/>
              </w:rPr>
              <w:t>Forschungsergebnisse, wo zutreffend</w:t>
            </w:r>
          </w:p>
        </w:tc>
        <w:tc>
          <w:tcPr>
            <w:tcW w:type="dxa" w:w="3213"/>
          </w:tcPr>
          <w:p>
            <w:pPr>
              <w:spacing w:after="0" w:before="0"/>
            </w:pPr>
            <w:r/>
            <w:r>
              <w:rPr>
                <w:b w:val="0"/>
                <w:i w:val="0"/>
                <w:color w:val="1A1A1A"/>
                <w:sz w:val="18"/>
              </w:rPr>
              <w:t>verlangt (6.1.2)</w:t>
            </w:r>
          </w:p>
        </w:tc>
        <w:tc>
          <w:tcPr>
            <w:tcW w:type="dxa" w:w="3213"/>
          </w:tcPr>
          <w:p>
            <w:pPr>
              <w:spacing w:after="0" w:before="0"/>
            </w:pPr>
            <w:r/>
            <w:r>
              <w:rPr>
                <w:b w:val="0"/>
                <w:i w:val="0"/>
                <w:color w:val="1A1A1A"/>
                <w:sz w:val="18"/>
              </w:rPr>
              <w:t>veröffentlichte Erhebungen zu Speiseresten, soweit vorhanden</w:t>
            </w:r>
          </w:p>
        </w:tc>
      </w:tr>
      <w:tr>
        <w:trPr>
          <w:cantSplit w:val="true"/>
        </w:trPr>
        <w:tc>
          <w:tcPr>
            <w:tcW w:type="dxa" w:w="3213"/>
            <w:shd w:val="clear" w:color="auto" w:fill="F3EFE6"/>
          </w:tcPr>
          <w:p>
            <w:pPr>
              <w:spacing w:after="0" w:before="0"/>
            </w:pPr>
            <w:r/>
            <w:r>
              <w:rPr>
                <w:b w:val="0"/>
                <w:i w:val="0"/>
                <w:color w:val="1A1A1A"/>
                <w:sz w:val="18"/>
              </w:rPr>
              <w:t>Größe der Wirkung</w:t>
            </w:r>
          </w:p>
        </w:tc>
        <w:tc>
          <w:tcPr>
            <w:tcW w:type="dxa" w:w="3213"/>
            <w:shd w:val="clear" w:color="auto" w:fill="F3EFE6"/>
          </w:tcPr>
          <w:p>
            <w:pPr>
              <w:spacing w:after="0" w:before="0"/>
            </w:pPr>
            <w:r/>
            <w:r>
              <w:rPr>
                <w:b w:val="0"/>
                <w:i w:val="0"/>
                <w:color w:val="1A1A1A"/>
                <w:sz w:val="18"/>
              </w:rPr>
              <w:t>Anleitung (C.2.2)</w:t>
            </w:r>
          </w:p>
        </w:tc>
        <w:tc>
          <w:tcPr>
            <w:tcW w:type="dxa" w:w="3213"/>
            <w:shd w:val="clear" w:color="auto" w:fill="F3EFE6"/>
          </w:tcPr>
          <w:p>
            <w:pPr>
              <w:spacing w:after="0" w:before="0"/>
            </w:pPr>
            <w:r/>
            <w:r>
              <w:rPr>
                <w:b w:val="0"/>
                <w:i w:val="0"/>
                <w:color w:val="1A1A1A"/>
                <w:sz w:val="18"/>
              </w:rPr>
              <w:t>sechs Busse täglich durch enge Gassen</w:t>
            </w:r>
          </w:p>
        </w:tc>
      </w:tr>
      <w:tr>
        <w:trPr>
          <w:cantSplit w:val="true"/>
        </w:trPr>
        <w:tc>
          <w:tcPr>
            <w:tcW w:type="dxa" w:w="3213"/>
          </w:tcPr>
          <w:p>
            <w:pPr>
              <w:spacing w:after="0" w:before="0"/>
            </w:pPr>
            <w:r/>
            <w:r>
              <w:rPr>
                <w:b w:val="0"/>
                <w:i w:val="0"/>
                <w:color w:val="1A1A1A"/>
                <w:sz w:val="18"/>
              </w:rPr>
              <w:t>Folgen von Handeln und Nichthandeln</w:t>
            </w:r>
          </w:p>
        </w:tc>
        <w:tc>
          <w:tcPr>
            <w:tcW w:type="dxa" w:w="3213"/>
          </w:tcPr>
          <w:p>
            <w:pPr>
              <w:spacing w:after="0" w:before="0"/>
            </w:pPr>
            <w:r/>
            <w:r>
              <w:rPr>
                <w:b w:val="0"/>
                <w:i w:val="0"/>
                <w:color w:val="1A1A1A"/>
                <w:sz w:val="18"/>
              </w:rPr>
              <w:t>Anleitung (C.2.2)</w:t>
            </w:r>
          </w:p>
        </w:tc>
        <w:tc>
          <w:tcPr>
            <w:tcW w:type="dxa" w:w="3213"/>
          </w:tcPr>
          <w:p>
            <w:pPr>
              <w:spacing w:after="0" w:before="0"/>
            </w:pPr>
            <w:r/>
            <w:r>
              <w:rPr>
                <w:b w:val="0"/>
                <w:i w:val="0"/>
                <w:color w:val="1A1A1A"/>
                <w:sz w:val="18"/>
              </w:rPr>
              <w:t>Beschwerde der Anwohner, Genehmigungen künftiger Anlässe</w:t>
            </w:r>
          </w:p>
        </w:tc>
      </w:tr>
      <w:tr>
        <w:trPr>
          <w:cantSplit w:val="true"/>
        </w:trPr>
        <w:tc>
          <w:tcPr>
            <w:tcW w:type="dxa" w:w="3213"/>
            <w:shd w:val="clear" w:color="auto" w:fill="F3EFE6"/>
          </w:tcPr>
          <w:p>
            <w:pPr>
              <w:spacing w:after="0" w:before="0"/>
            </w:pPr>
            <w:r/>
            <w:r>
              <w:rPr>
                <w:b w:val="0"/>
                <w:i w:val="0"/>
                <w:color w:val="1A1A1A"/>
                <w:sz w:val="18"/>
              </w:rPr>
              <w:t>Kosten gegen Nutzen</w:t>
            </w:r>
          </w:p>
        </w:tc>
        <w:tc>
          <w:tcPr>
            <w:tcW w:type="dxa" w:w="3213"/>
            <w:shd w:val="clear" w:color="auto" w:fill="F3EFE6"/>
          </w:tcPr>
          <w:p>
            <w:pPr>
              <w:spacing w:after="0" w:before="0"/>
            </w:pPr>
            <w:r/>
            <w:r>
              <w:rPr>
                <w:b w:val="0"/>
                <w:i w:val="0"/>
                <w:color w:val="1A1A1A"/>
                <w:sz w:val="18"/>
              </w:rPr>
              <w:t>Anleitung (C.2.2)</w:t>
            </w:r>
          </w:p>
        </w:tc>
        <w:tc>
          <w:tcPr>
            <w:tcW w:type="dxa" w:w="3213"/>
            <w:shd w:val="clear" w:color="auto" w:fill="F3EFE6"/>
          </w:tcPr>
          <w:p>
            <w:pPr>
              <w:spacing w:after="0" w:before="0"/>
            </w:pPr>
            <w:r/>
            <w:r>
              <w:rPr>
                <w:b w:val="0"/>
                <w:i w:val="0"/>
                <w:color w:val="1A1A1A"/>
                <w:sz w:val="18"/>
              </w:rPr>
              <w:t>Fußwege statt Bus für zwei Partnerhäuser</w:t>
            </w:r>
          </w:p>
        </w:tc>
      </w:tr>
      <w:tr>
        <w:trPr>
          <w:cantSplit w:val="true"/>
        </w:trPr>
        <w:tc>
          <w:tcPr>
            <w:tcW w:type="dxa" w:w="3213"/>
          </w:tcPr>
          <w:p>
            <w:pPr>
              <w:spacing w:after="0" w:before="0"/>
            </w:pPr>
            <w:r/>
            <w:r>
              <w:rPr>
                <w:b w:val="0"/>
                <w:i w:val="0"/>
                <w:color w:val="1A1A1A"/>
                <w:sz w:val="18"/>
              </w:rPr>
              <w:t>Vergleich mit Recht und guter Praxis</w:t>
            </w:r>
          </w:p>
        </w:tc>
        <w:tc>
          <w:tcPr>
            <w:tcW w:type="dxa" w:w="3213"/>
          </w:tcPr>
          <w:p>
            <w:pPr>
              <w:spacing w:after="0" w:before="0"/>
            </w:pPr>
            <w:r/>
            <w:r>
              <w:rPr>
                <w:b w:val="0"/>
                <w:i w:val="0"/>
                <w:color w:val="1A1A1A"/>
                <w:sz w:val="18"/>
              </w:rPr>
              <w:t>Anleitung (C.2.2)</w:t>
            </w:r>
          </w:p>
        </w:tc>
        <w:tc>
          <w:tcPr>
            <w:tcW w:type="dxa" w:w="3213"/>
          </w:tcPr>
          <w:p>
            <w:pPr>
              <w:spacing w:after="0" w:before="0"/>
            </w:pPr>
            <w:r/>
            <w:r>
              <w:rPr>
                <w:b w:val="0"/>
                <w:i w:val="0"/>
                <w:color w:val="1A1A1A"/>
                <w:sz w:val="18"/>
              </w:rPr>
              <w:t>Ruhezeiten, Barrierefreiheit im Haus</w:t>
            </w:r>
          </w:p>
        </w:tc>
      </w:tr>
    </w:tbl>
    <w:p>
      <w:pPr>
        <w:spacing w:after="40"/>
      </w:pPr>
    </w:p>
    <w:p>
      <w:pPr>
        <w:pStyle w:val="Heading2"/>
      </w:pPr>
      <w:r>
        <w:t>Praktische Anwendung: die Auswirkungen eines großen Kongresses in sieben Schritten bewerten</w:t>
      </w:r>
    </w:p>
    <w:p>
      <w:pPr>
        <w:tabs>
          <w:tab w:pos="340" w:val="left"/>
        </w:tabs>
        <w:ind w:left="340" w:hanging="340"/>
      </w:pPr>
      <w:r>
        <w:rPr>
          <w:b/>
          <w:color w:val="8C5A2B"/>
        </w:rPr>
        <w:t>1.</w:t>
        <w:tab/>
      </w:r>
      <w:r>
        <w:rPr>
          <w:b/>
        </w:rPr>
        <w:t>Den Kongress von außen ansehen.</w:t>
      </w:r>
      <w:r>
        <w:t xml:space="preserve"> Eine Karte der Stadt mit Unterkünften, Wegen, Busrouten, Lieferanten und Anwohnern. Was geschieht außerhalb des Hauses?</w:t>
      </w:r>
    </w:p>
    <w:p>
      <w:pPr>
        <w:tabs>
          <w:tab w:pos="340" w:val="left"/>
        </w:tabs>
        <w:ind w:left="340" w:hanging="340"/>
      </w:pPr>
      <w:r>
        <w:rPr>
          <w:b/>
          <w:color w:val="8C5A2B"/>
        </w:rPr>
        <w:t>2.</w:t>
        <w:tab/>
      </w:r>
      <w:r>
        <w:rPr>
          <w:b/>
        </w:rPr>
        <w:t>Abteilungsleiter und Partner an einen Tisch holen.</w:t>
      </w:r>
      <w:r>
        <w:t xml:space="preserve"> Küche, Bankett, Technik, Empfang, dazu Agentur, ein Partnerhaus und das Busunternehmen. Drei Stunden genügen für den Anfang.</w:t>
      </w:r>
    </w:p>
    <w:p>
      <w:pPr>
        <w:tabs>
          <w:tab w:pos="340" w:val="left"/>
        </w:tabs>
        <w:ind w:left="340" w:hanging="340"/>
      </w:pPr>
      <w:r>
        <w:rPr>
          <w:b/>
          <w:color w:val="8C5A2B"/>
        </w:rPr>
        <w:t>3.</w:t>
        <w:tab/>
      </w:r>
      <w:r>
        <w:rPr>
          <w:b/>
        </w:rPr>
        <w:t>Themen in drei Bereichen sammeln.</w:t>
      </w:r>
      <w:r>
        <w:t xml:space="preserve"> Ökologisch, sozial, wirtschaftlich, mit der Tabelle C.1 als Prüfliste. Positive Wirkungen gehören dazu.</w:t>
      </w:r>
    </w:p>
    <w:p>
      <w:pPr>
        <w:tabs>
          <w:tab w:pos="340" w:val="left"/>
        </w:tabs>
        <w:ind w:left="340" w:hanging="340"/>
      </w:pPr>
      <w:r>
        <w:rPr>
          <w:b/>
          <w:color w:val="8C5A2B"/>
        </w:rPr>
        <w:t>4.</w:t>
        <w:tab/>
      </w:r>
      <w:r>
        <w:rPr>
          <w:b/>
        </w:rPr>
        <w:t>Jedes Thema einordnen.</w:t>
      </w:r>
      <w:r>
        <w:t xml:space="preserve"> Steuerbar, beeinflussbar oder weder noch, aber bedeutend. Beeinflussbares bleibt auf der Liste, auch wenn ein anderer den Vertrag darüber hält, etwa die Agentur mit dem Busunternehmen. Bewertet werden die Schnittstellen zum Haus und die Wirkungen, auf die es einwirken kann.</w:t>
      </w:r>
    </w:p>
    <w:p>
      <w:pPr>
        <w:tabs>
          <w:tab w:pos="340" w:val="left"/>
        </w:tabs>
        <w:ind w:left="340" w:hanging="340"/>
      </w:pPr>
      <w:r>
        <w:rPr>
          <w:b/>
          <w:color w:val="8C5A2B"/>
        </w:rPr>
        <w:t>5.</w:t>
        <w:tab/>
      </w:r>
      <w:r>
        <w:rPr>
          <w:b/>
        </w:rPr>
        <w:t>Kriterien beschließen.</w:t>
      </w:r>
      <w:r>
        <w:t xml:space="preserve"> Rückmeldungen, aufkommende Themen und Forschung sind Pflicht, die übrigen Kriterien wählt das Haus. Die Eigentümerschaft gibt das Kriterienblatt frei.</w:t>
      </w:r>
    </w:p>
    <w:p>
      <w:pPr>
        <w:tabs>
          <w:tab w:pos="340" w:val="left"/>
        </w:tabs>
        <w:ind w:left="340" w:hanging="340"/>
      </w:pPr>
      <w:r>
        <w:rPr>
          <w:b/>
          <w:color w:val="8C5A2B"/>
        </w:rPr>
        <w:t>6.</w:t>
        <w:tab/>
      </w:r>
      <w:r>
        <w:rPr>
          <w:b/>
        </w:rPr>
        <w:t>Bewerten und begründen.</w:t>
      </w:r>
      <w:r>
        <w:t xml:space="preserve"> Jedes Thema bekommt eine Stufe und eine Zeile Begründung. Fehlt eine Zahl, steht das dabei.</w:t>
      </w:r>
    </w:p>
    <w:p>
      <w:pPr>
        <w:tabs>
          <w:tab w:pos="340" w:val="left"/>
        </w:tabs>
        <w:ind w:left="340" w:hanging="340"/>
      </w:pPr>
      <w:r>
        <w:rPr>
          <w:b/>
          <w:color w:val="8C5A2B"/>
        </w:rPr>
        <w:t>7.</w:t>
        <w:tab/>
      </w:r>
      <w:r>
        <w:rPr>
          <w:b/>
        </w:rPr>
        <w:t>Teilen und nachführen.</w:t>
      </w:r>
      <w:r>
        <w:t xml:space="preserve"> Die Liste mit Datum an die Betroffenen schicken und nach dem Kongress mit den Lehren überarbeiten (9.1 c).</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Kongress von außen ansehen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Abteilungsleiter und Partner an einen Tisch holen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Themen in drei Bereichen sammeln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Jedes Thema einordnen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Kriterien beschließen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Bewerten und begründen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Teilen und nachführen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die Wirkungen der Veranstaltung außerhalb unseres Hauses aufgeschrieben?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Stehen beeinflussbare Themen auf unserer Liste, nicht nur steuerbare?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Enthält die Liste ökologische, soziale und wirtschaftliche Themen?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Sind positive Wirkungen bewertet, nicht nur Schäden?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Sind die Kriterien der Bedeutung schriftlich festgelegt und freigegeben?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Gehen Rückmeldungen der Betroffenen nachweislich in die Bewertung ein?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jedes Thema eine Zeile Begründung?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die Betroffenen das Ergebnis erhalten, mit Datum der Fassung?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Nur die eigenen Zähler bewerten.</w:t>
      </w:r>
      <w:r>
        <w:t xml:space="preserve"> Der größte Teil eines großen Kongresses findet außerhalb des Hauses statt.</w:t>
      </w:r>
    </w:p>
    <w:p>
      <w:pPr>
        <w:tabs>
          <w:tab w:pos="340" w:val="left"/>
        </w:tabs>
        <w:ind w:left="340" w:hanging="340"/>
      </w:pPr>
      <w:r>
        <w:rPr>
          <w:color w:val="8C5A2B"/>
        </w:rPr>
        <w:t>–</w:t>
        <w:tab/>
      </w:r>
      <w:r>
        <w:rPr>
          <w:b/>
        </w:rPr>
        <w:t>Die Liste aus dem Prospekt übernehmen.</w:t>
      </w:r>
      <w:r>
        <w:t xml:space="preserve"> Sie beschreibt das Haus, nicht die Veranstaltung.</w:t>
      </w:r>
    </w:p>
    <w:p>
      <w:pPr>
        <w:tabs>
          <w:tab w:pos="340" w:val="left"/>
        </w:tabs>
        <w:ind w:left="340" w:hanging="340"/>
      </w:pPr>
      <w:r>
        <w:rPr>
          <w:color w:val="8C5A2B"/>
        </w:rPr>
        <w:t>–</w:t>
        <w:tab/>
      </w:r>
      <w:r>
        <w:rPr>
          <w:b/>
        </w:rPr>
        <w:t>Mit der Ampel bewerten, ohne Kriterien.</w:t>
      </w:r>
      <w:r>
        <w:t xml:space="preserve"> Grün heißt dann nur, dass man sich Mühe gibt.</w:t>
      </w:r>
    </w:p>
    <w:p>
      <w:pPr>
        <w:tabs>
          <w:tab w:pos="340" w:val="left"/>
        </w:tabs>
        <w:ind w:left="340" w:hanging="340"/>
      </w:pPr>
      <w:r>
        <w:rPr>
          <w:color w:val="8C5A2B"/>
        </w:rPr>
        <w:t>–</w:t>
        <w:tab/>
      </w:r>
      <w:r>
        <w:rPr>
          <w:b/>
        </w:rPr>
        <w:t>Ein Thema streichen, weil die Zahl fehlt.</w:t>
      </w:r>
      <w:r>
        <w:t xml:space="preserve"> Die fehlende Zahl ist ein Befund.</w:t>
      </w:r>
    </w:p>
    <w:p>
      <w:pPr>
        <w:tabs>
          <w:tab w:pos="340" w:val="left"/>
        </w:tabs>
        <w:ind w:left="340" w:hanging="340"/>
      </w:pPr>
      <w:r>
        <w:rPr>
          <w:color w:val="8C5A2B"/>
        </w:rPr>
        <w:t>–</w:t>
        <w:tab/>
      </w:r>
      <w:r>
        <w:rPr>
          <w:b/>
        </w:rPr>
        <w:t>Die Anwohner erst nach der Veranstaltung hören.</w:t>
      </w:r>
      <w:r>
        <w:t xml:space="preserve"> Ihr Brief gehört in die Bewertung, nicht in den Ordner.</w:t>
      </w:r>
    </w:p>
    <w:p>
      <w:pPr>
        <w:tabs>
          <w:tab w:pos="340" w:val="left"/>
        </w:tabs>
        <w:ind w:left="340" w:hanging="340"/>
      </w:pPr>
      <w:r>
        <w:rPr>
          <w:color w:val="8C5A2B"/>
        </w:rPr>
        <w:t>–</w:t>
        <w:tab/>
      </w:r>
      <w:r>
        <w:rPr>
          <w:b/>
        </w:rPr>
        <w:t>Die Bewertung im Haus behalten.</w:t>
      </w:r>
      <w:r>
        <w:t xml:space="preserve"> Was niemand kennt, kann niemand verbessern.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des Hauses aus dem Kongress</w:t>
            </w:r>
          </w:p>
        </w:tc>
        <w:tc>
          <w:tcPr>
            <w:tcW w:type="dxa" w:w="1474"/>
          </w:tcPr>
          <w:p>
            <w:pPr>
              <w:spacing w:after="0" w:before="0"/>
            </w:pPr>
            <w:r/>
            <w:r>
              <w:rPr>
                <w:b w:val="0"/>
                <w:i w:val="0"/>
                <w:color w:val="1A1A1A"/>
                <w:sz w:val="18"/>
              </w:rPr>
              <w:t>€ 123.000</w:t>
            </w:r>
          </w:p>
        </w:tc>
        <w:tc>
          <w:tcPr>
            <w:tcW w:type="dxa" w:w="3175"/>
          </w:tcPr>
          <w:p>
            <w:pPr>
              <w:spacing w:after="0" w:before="0"/>
            </w:pPr>
            <w:r/>
            <w:r>
              <w:rPr>
                <w:b w:val="0"/>
                <w:i w:val="0"/>
                <w:color w:val="1A1A1A"/>
                <w:sz w:val="18"/>
              </w:rPr>
              <w:t>Zimmer, 1.800 Mittagessen, Räume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Runde mit Abteilungsleitern und Partnern</w:t>
            </w:r>
          </w:p>
        </w:tc>
        <w:tc>
          <w:tcPr>
            <w:tcW w:type="dxa" w:w="1474"/>
            <w:shd w:val="clear" w:color="auto" w:fill="F3EFE6"/>
          </w:tcPr>
          <w:p>
            <w:pPr>
              <w:spacing w:after="0" w:before="0"/>
            </w:pPr>
            <w:r/>
            <w:r>
              <w:rPr>
                <w:b w:val="0"/>
                <w:i w:val="0"/>
                <w:color w:val="1A1A1A"/>
                <w:sz w:val="18"/>
              </w:rPr>
              <w:t>24 Stunden</w:t>
            </w:r>
          </w:p>
        </w:tc>
        <w:tc>
          <w:tcPr>
            <w:tcW w:type="dxa" w:w="3175"/>
            <w:shd w:val="clear" w:color="auto" w:fill="F3EFE6"/>
          </w:tcPr>
          <w:p>
            <w:pPr>
              <w:spacing w:after="0" w:before="0"/>
            </w:pPr>
            <w:r/>
            <w:r>
              <w:rPr>
                <w:b w:val="0"/>
                <w:i w:val="0"/>
                <w:color w:val="1A1A1A"/>
                <w:sz w:val="18"/>
              </w:rPr>
              <w:t>einmalig, acht Personen zu drei Stunden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Gespräche mit Anwohnern, Busunternehmen, Caterer</w:t>
            </w:r>
          </w:p>
        </w:tc>
        <w:tc>
          <w:tcPr>
            <w:tcW w:type="dxa" w:w="1474"/>
          </w:tcPr>
          <w:p>
            <w:pPr>
              <w:spacing w:after="0" w:before="0"/>
            </w:pPr>
            <w:r/>
            <w:r>
              <w:rPr>
                <w:b w:val="0"/>
                <w:i w:val="0"/>
                <w:color w:val="1A1A1A"/>
                <w:sz w:val="18"/>
              </w:rPr>
              <w:t>12 Stunden</w:t>
            </w:r>
          </w:p>
        </w:tc>
        <w:tc>
          <w:tcPr>
            <w:tcW w:type="dxa" w:w="3175"/>
          </w:tcPr>
          <w:p>
            <w:pPr>
              <w:spacing w:after="0" w:before="0"/>
            </w:pPr>
            <w:r/>
            <w:r>
              <w:rPr>
                <w:b w:val="0"/>
                <w:i w:val="0"/>
                <w:color w:val="1A1A1A"/>
                <w:sz w:val="18"/>
              </w:rPr>
              <w:t>einmalig, Direktion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Kriterienblatt und Bewertung mit Begründung</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einmalig, Direktion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Freigabe durch die Eigentümerin</w:t>
            </w:r>
          </w:p>
        </w:tc>
        <w:tc>
          <w:tcPr>
            <w:tcW w:type="dxa" w:w="1474"/>
          </w:tcPr>
          <w:p>
            <w:pPr>
              <w:spacing w:after="0" w:before="0"/>
            </w:pPr>
            <w:r/>
            <w:r>
              <w:rPr>
                <w:b w:val="0"/>
                <w:i w:val="0"/>
                <w:color w:val="1A1A1A"/>
                <w:sz w:val="18"/>
              </w:rPr>
              <w:t>2 Stunden</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Überarbeitung nach dem Kongress</w:t>
            </w:r>
          </w:p>
        </w:tc>
        <w:tc>
          <w:tcPr>
            <w:tcW w:type="dxa" w:w="1474"/>
            <w:shd w:val="clear" w:color="auto" w:fill="F3EFE6"/>
          </w:tcPr>
          <w:p>
            <w:pPr>
              <w:spacing w:after="0" w:before="0"/>
            </w:pPr>
            <w:r/>
            <w:r>
              <w:rPr>
                <w:b w:val="0"/>
                <w:i w:val="0"/>
                <w:color w:val="1A1A1A"/>
                <w:sz w:val="18"/>
              </w:rPr>
              <w:t>6 Stunden</w:t>
            </w:r>
          </w:p>
        </w:tc>
        <w:tc>
          <w:tcPr>
            <w:tcW w:type="dxa" w:w="3175"/>
            <w:shd w:val="clear" w:color="auto" w:fill="F3EFE6"/>
          </w:tcPr>
          <w:p>
            <w:pPr>
              <w:spacing w:after="0" w:before="0"/>
            </w:pPr>
            <w:r/>
            <w:r>
              <w:rPr>
                <w:b w:val="0"/>
                <w:i w:val="0"/>
                <w:color w:val="1A1A1A"/>
                <w:sz w:val="18"/>
              </w:rPr>
              <w:t>je großer Veranstaltung</w:t>
            </w:r>
          </w:p>
        </w:tc>
        <w:tc>
          <w:tcPr>
            <w:tcW w:type="dxa" w:w="1814"/>
            <w:shd w:val="clear" w:color="auto" w:fill="F3EFE6"/>
          </w:tcPr>
          <w:p>
            <w:pPr>
              <w:spacing w:after="0" w:before="0"/>
            </w:pPr>
            <w:r/>
            <w:r>
              <w:rPr>
                <w:b w:val="0"/>
                <w:i w:val="0"/>
                <w:color w:val="1A1A1A"/>
                <w:sz w:val="18"/>
              </w:rPr>
            </w:r>
          </w:p>
        </w:tc>
      </w:tr>
    </w:tbl>
    <w:p>
      <w:pPr>
        <w:spacing w:after="40"/>
      </w:pPr>
    </w:p>
    <w:p>
      <w:r>
        <w:rPr>
          <w:b w:val="0"/>
          <w:i w:val="0"/>
        </w:rPr>
        <w:t>Für ein Haus, das an einem Kongress € 123.000 umsetzt, sind gut fünfzig Stunden eine überschaubare Arbeit. Die zweite Bewertung kostet weniger, weil Kriterien und Ablauf bleiben und nur die Veranstaltung wechselt.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Prozess zum Identifizieren und Bewerten (6.1.2)</w:t>
            </w:r>
          </w:p>
        </w:tc>
        <w:tc>
          <w:tcPr>
            <w:tcW w:type="dxa" w:w="3175"/>
          </w:tcPr>
          <w:p>
            <w:pPr>
              <w:spacing w:after="0" w:before="0"/>
            </w:pPr>
            <w:r/>
            <w:r>
              <w:rPr>
                <w:b w:val="0"/>
                <w:i w:val="0"/>
                <w:color w:val="1A1A1A"/>
                <w:sz w:val="18"/>
              </w:rPr>
              <w:t>beschriebener Ablauf mit Beteiligten und Terminen</w:t>
            </w:r>
          </w:p>
        </w:tc>
        <w:tc>
          <w:tcPr>
            <w:tcW w:type="dxa" w:w="3175"/>
          </w:tcPr>
          <w:p>
            <w:pPr>
              <w:spacing w:after="0" w:before="0"/>
            </w:pPr>
            <w:r/>
            <w:r>
              <w:rPr>
                <w:b w:val="0"/>
                <w:i w:val="0"/>
                <w:color w:val="1A1A1A"/>
                <w:sz w:val="18"/>
              </w:rPr>
              <w:t>Brainstorming mit Abteilungsleitern (A.10)</w:t>
            </w:r>
          </w:p>
        </w:tc>
      </w:tr>
      <w:tr>
        <w:trPr>
          <w:cantSplit w:val="true"/>
        </w:trPr>
        <w:tc>
          <w:tcPr>
            <w:tcW w:type="dxa" w:w="3288"/>
            <w:shd w:val="clear" w:color="auto" w:fill="F3EFE6"/>
          </w:tcPr>
          <w:p>
            <w:pPr>
              <w:spacing w:after="0" w:before="0"/>
            </w:pPr>
            <w:r/>
            <w:r>
              <w:rPr>
                <w:b w:val="0"/>
                <w:i w:val="0"/>
                <w:color w:val="1A1A1A"/>
                <w:sz w:val="18"/>
              </w:rPr>
              <w:t>Auch beeinflussbare Themen berücksichtigen (6.1.2)</w:t>
            </w:r>
          </w:p>
        </w:tc>
        <w:tc>
          <w:tcPr>
            <w:tcW w:type="dxa" w:w="3175"/>
            <w:shd w:val="clear" w:color="auto" w:fill="F3EFE6"/>
          </w:tcPr>
          <w:p>
            <w:pPr>
              <w:spacing w:after="0" w:before="0"/>
            </w:pPr>
            <w:r/>
            <w:r>
              <w:rPr>
                <w:b w:val="0"/>
                <w:i w:val="0"/>
                <w:color w:val="1A1A1A"/>
                <w:sz w:val="18"/>
              </w:rPr>
              <w:t>Themenliste mit Spalte steuerbar oder beeinflussbar</w:t>
            </w:r>
          </w:p>
        </w:tc>
        <w:tc>
          <w:tcPr>
            <w:tcW w:type="dxa" w:w="3175"/>
            <w:shd w:val="clear" w:color="auto" w:fill="F3EFE6"/>
          </w:tcPr>
          <w:p>
            <w:pPr>
              <w:spacing w:after="0" w:before="0"/>
            </w:pPr>
            <w:r/>
            <w:r>
              <w:rPr>
                <w:b w:val="0"/>
                <w:i w:val="0"/>
                <w:color w:val="1A1A1A"/>
                <w:sz w:val="18"/>
              </w:rPr>
              <w:t>Dreiteilung mit «weder noch, aber bedeutend» (A.10)</w:t>
            </w:r>
          </w:p>
        </w:tc>
      </w:tr>
      <w:tr>
        <w:trPr>
          <w:cantSplit w:val="true"/>
        </w:trPr>
        <w:tc>
          <w:tcPr>
            <w:tcW w:type="dxa" w:w="3288"/>
          </w:tcPr>
          <w:p>
            <w:pPr>
              <w:spacing w:after="0" w:before="0"/>
            </w:pPr>
            <w:r/>
            <w:r>
              <w:rPr>
                <w:b w:val="0"/>
                <w:i w:val="0"/>
                <w:color w:val="1A1A1A"/>
                <w:sz w:val="18"/>
              </w:rPr>
              <w:t>Kriterien dokumentiert, mit Rückmeldungen, aufkommenden Themen, Forschung (6.1.2)</w:t>
            </w:r>
          </w:p>
        </w:tc>
        <w:tc>
          <w:tcPr>
            <w:tcW w:type="dxa" w:w="3175"/>
          </w:tcPr>
          <w:p>
            <w:pPr>
              <w:spacing w:after="0" w:before="0"/>
            </w:pPr>
            <w:r/>
            <w:r>
              <w:rPr>
                <w:b w:val="0"/>
                <w:i w:val="0"/>
                <w:color w:val="1A1A1A"/>
                <w:sz w:val="18"/>
              </w:rPr>
              <w:t>Kriterienblatt, von der Eigentümerin freigegeben</w:t>
            </w:r>
          </w:p>
        </w:tc>
        <w:tc>
          <w:tcPr>
            <w:tcW w:type="dxa" w:w="3175"/>
          </w:tcPr>
          <w:p>
            <w:pPr>
              <w:spacing w:after="0" w:before="0"/>
            </w:pPr>
            <w:r/>
            <w:r>
              <w:rPr>
                <w:b w:val="0"/>
                <w:i w:val="0"/>
                <w:color w:val="1A1A1A"/>
                <w:sz w:val="18"/>
              </w:rPr>
              <w:t>fünf Kriterien (C.2.2)</w:t>
            </w:r>
          </w:p>
        </w:tc>
      </w:tr>
      <w:tr>
        <w:trPr>
          <w:cantSplit w:val="true"/>
        </w:trPr>
        <w:tc>
          <w:tcPr>
            <w:tcW w:type="dxa" w:w="3288"/>
            <w:shd w:val="clear" w:color="auto" w:fill="F3EFE6"/>
          </w:tcPr>
          <w:p>
            <w:pPr>
              <w:spacing w:after="0" w:before="0"/>
            </w:pPr>
            <w:r/>
            <w:r>
              <w:rPr>
                <w:b w:val="0"/>
                <w:i w:val="0"/>
                <w:color w:val="1A1A1A"/>
                <w:sz w:val="18"/>
              </w:rPr>
              <w:t>Ergebnisse dokumentiert, aktuell, geteilt (6.1.2)</w:t>
            </w:r>
          </w:p>
        </w:tc>
        <w:tc>
          <w:tcPr>
            <w:tcW w:type="dxa" w:w="3175"/>
            <w:shd w:val="clear" w:color="auto" w:fill="F3EFE6"/>
          </w:tcPr>
          <w:p>
            <w:pPr>
              <w:spacing w:after="0" w:before="0"/>
            </w:pPr>
            <w:r/>
            <w:r>
              <w:rPr>
                <w:b w:val="0"/>
                <w:i w:val="0"/>
                <w:color w:val="1A1A1A"/>
                <w:sz w:val="18"/>
              </w:rPr>
              <w:t>datierte Liste, Versand an Agentur und Partnerhäuser</w:t>
            </w:r>
          </w:p>
        </w:tc>
        <w:tc>
          <w:tcPr>
            <w:tcW w:type="dxa" w:w="3175"/>
            <w:shd w:val="clear" w:color="auto" w:fill="F3EFE6"/>
          </w:tcPr>
          <w:p>
            <w:pPr>
              <w:spacing w:after="0" w:before="0"/>
            </w:pPr>
            <w:r/>
            <w:r>
              <w:rPr>
                <w:b w:val="0"/>
                <w:i w:val="0"/>
                <w:color w:val="1A1A1A"/>
                <w:sz w:val="18"/>
              </w:rPr>
              <w:t>Befragung der Parteien vor der Zielsetzung (A.10)</w:t>
            </w:r>
          </w:p>
        </w:tc>
      </w:tr>
      <w:tr>
        <w:trPr>
          <w:cantSplit w:val="true"/>
        </w:trPr>
        <w:tc>
          <w:tcPr>
            <w:tcW w:type="dxa" w:w="3288"/>
          </w:tcPr>
          <w:p>
            <w:pPr>
              <w:spacing w:after="0" w:before="0"/>
            </w:pPr>
            <w:r/>
            <w:r>
              <w:rPr>
                <w:b w:val="0"/>
                <w:i w:val="0"/>
                <w:color w:val="1A1A1A"/>
                <w:sz w:val="18"/>
              </w:rPr>
              <w:t>Themen der drei Bereiche, wo zutreffend (6.1.2 a bis c)</w:t>
            </w:r>
          </w:p>
        </w:tc>
        <w:tc>
          <w:tcPr>
            <w:tcW w:type="dxa" w:w="3175"/>
          </w:tcPr>
          <w:p>
            <w:pPr>
              <w:spacing w:after="0" w:before="0"/>
            </w:pPr>
            <w:r/>
            <w:r>
              <w:rPr>
                <w:b w:val="0"/>
                <w:i w:val="0"/>
                <w:color w:val="1A1A1A"/>
                <w:sz w:val="18"/>
              </w:rPr>
              <w:t>Liste nach ökologisch, sozial, wirtschaftlich</w:t>
            </w:r>
          </w:p>
        </w:tc>
        <w:tc>
          <w:tcPr>
            <w:tcW w:type="dxa" w:w="3175"/>
          </w:tcPr>
          <w:p>
            <w:pPr>
              <w:spacing w:after="0" w:before="0"/>
            </w:pPr>
            <w:r/>
            <w:r>
              <w:rPr>
                <w:b w:val="0"/>
                <w:i w:val="0"/>
                <w:color w:val="1A1A1A"/>
                <w:sz w:val="18"/>
              </w:rPr>
              <w:t>32 Themen der Tabelle C.1</w:t>
            </w:r>
          </w:p>
        </w:tc>
      </w:tr>
    </w:tbl>
    <w:p>
      <w:pPr>
        <w:spacing w:after="40"/>
      </w:pPr>
    </w:p>
    <w:p>
      <w:pPr>
        <w:pStyle w:val="Heading2"/>
      </w:pPr>
      <w:r>
        <w:t>DACH-Anker: wer nach Wesentlichkeit fragt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Nachhaltigkeitsberichterstattung</w:t>
            </w:r>
          </w:p>
        </w:tc>
        <w:tc>
          <w:tcPr>
            <w:tcW w:type="dxa" w:w="2721"/>
          </w:tcPr>
          <w:p>
            <w:pPr>
              <w:spacing w:after="0" w:before="0"/>
            </w:pPr>
            <w:r/>
            <w:r>
              <w:rPr>
                <w:b w:val="0"/>
                <w:i w:val="0"/>
                <w:color w:val="1A1A1A"/>
                <w:sz w:val="17"/>
              </w:rPr>
              <w:t>CSRD nach Omnibus I künftig nur für mehr als 1.000 Beschäftigte und mehr als 450 Mio. Euro Umsatz; Umsetzung in nationales Recht bis 19. März 2027</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Art. 964a ff. OR für große Gesellschaften des öffentlichen Interesses</w:t>
            </w:r>
          </w:p>
        </w:tc>
      </w:tr>
      <w:tr>
        <w:trPr>
          <w:cantSplit w:val="true"/>
        </w:trPr>
        <w:tc>
          <w:tcPr>
            <w:tcW w:type="dxa" w:w="1474"/>
            <w:shd w:val="clear" w:color="auto" w:fill="F3EFE6"/>
          </w:tcPr>
          <w:p>
            <w:pPr>
              <w:spacing w:after="0" w:before="0"/>
            </w:pPr>
            <w:r/>
            <w:r>
              <w:rPr>
                <w:b w:val="0"/>
                <w:i w:val="0"/>
                <w:color w:val="1A1A1A"/>
                <w:sz w:val="17"/>
              </w:rPr>
              <w:t>Sorgfalt in der Lieferkette</w:t>
            </w:r>
          </w:p>
        </w:tc>
        <w:tc>
          <w:tcPr>
            <w:tcW w:type="dxa" w:w="2721"/>
            <w:shd w:val="clear" w:color="auto" w:fill="F3EFE6"/>
          </w:tcPr>
          <w:p>
            <w:pPr>
              <w:spacing w:after="0" w:before="0"/>
            </w:pPr>
            <w:r/>
            <w:r>
              <w:rPr>
                <w:b w:val="0"/>
                <w:i w:val="0"/>
                <w:color w:val="1A1A1A"/>
                <w:sz w:val="17"/>
              </w:rPr>
              <w:t>LkSG ab 1.000 Beschäftigten im Inland (§ 1 Abs. 1); Hotel als Zulieferer berührt</w:t>
            </w:r>
          </w:p>
        </w:tc>
        <w:tc>
          <w:tcPr>
            <w:tcW w:type="dxa" w:w="2721"/>
            <w:shd w:val="clear" w:color="auto" w:fill="F3EFE6"/>
          </w:tcPr>
          <w:p>
            <w:pPr>
              <w:spacing w:after="0" w:before="0"/>
            </w:pPr>
            <w:r/>
            <w:r>
              <w:rPr>
                <w:b w:val="0"/>
                <w:i w:val="0"/>
                <w:color w:val="1A1A1A"/>
                <w:sz w:val="17"/>
              </w:rPr>
              <w:t>CSDDD nach Omnibus I künftig ab mehr als 5.000 Beschäftigten und 1,5 Mrd. Euro Umsatz; Umsetzung bis 26. Juli 2028, Anwendung auf Unternehmen ab Juli 2029</w:t>
            </w:r>
          </w:p>
        </w:tc>
        <w:tc>
          <w:tcPr>
            <w:tcW w:type="dxa" w:w="2721"/>
            <w:shd w:val="clear" w:color="auto" w:fill="F3EFE6"/>
          </w:tcPr>
          <w:p>
            <w:pPr>
              <w:spacing w:after="0" w:before="0"/>
            </w:pPr>
            <w:r/>
            <w:r>
              <w:rPr>
                <w:b w:val="0"/>
                <w:i w:val="0"/>
                <w:color w:val="1A1A1A"/>
                <w:sz w:val="17"/>
              </w:rPr>
              <w:t>Sorgfaltspflichten zu Konfliktmineralien und Kinderarbeit (Art. 964j ff. OR)</w:t>
            </w:r>
          </w:p>
        </w:tc>
      </w:tr>
      <w:tr>
        <w:trPr>
          <w:cantSplit w:val="true"/>
        </w:trPr>
        <w:tc>
          <w:tcPr>
            <w:tcW w:type="dxa" w:w="1474"/>
          </w:tcPr>
          <w:p>
            <w:pPr>
              <w:spacing w:after="0" w:before="0"/>
            </w:pPr>
            <w:r/>
            <w:r>
              <w:rPr>
                <w:b w:val="0"/>
                <w:i w:val="0"/>
                <w:color w:val="1A1A1A"/>
                <w:sz w:val="17"/>
              </w:rPr>
              <w:t>Aussagen über Ergebnisse</w:t>
            </w:r>
          </w:p>
        </w:tc>
        <w:tc>
          <w:tcPr>
            <w:tcW w:type="dxa" w:w="2721"/>
          </w:tcPr>
          <w:p>
            <w:pPr>
              <w:spacing w:after="0" w:before="0"/>
            </w:pPr>
            <w:r/>
            <w:r>
              <w:rPr>
                <w:b w:val="0"/>
                <w:i w:val="0"/>
                <w:color w:val="1A1A1A"/>
                <w:sz w:val="17"/>
              </w:rPr>
              <w:t>UWG ab 27. September 2026, gegenüber Verbrauchern</w:t>
            </w:r>
          </w:p>
        </w:tc>
        <w:tc>
          <w:tcPr>
            <w:tcW w:type="dxa" w:w="2721"/>
          </w:tcPr>
          <w:p>
            <w:pPr>
              <w:spacing w:after="0" w:before="0"/>
            </w:pPr>
            <w:r/>
            <w:r>
              <w:rPr>
                <w:b w:val="0"/>
                <w:i w:val="0"/>
                <w:color w:val="1A1A1A"/>
                <w:sz w:val="17"/>
              </w:rPr>
              <w:t>UWG-Novelle BGBl. I Nr. 58/2026, gegenüber Verbrauchern</w:t>
            </w:r>
          </w:p>
        </w:tc>
        <w:tc>
          <w:tcPr>
            <w:tcW w:type="dxa" w:w="2721"/>
          </w:tcPr>
          <w:p>
            <w:pPr>
              <w:spacing w:after="0" w:before="0"/>
            </w:pPr>
            <w:r/>
            <w:r>
              <w:rPr>
                <w:b w:val="0"/>
                <w:i w:val="0"/>
                <w:color w:val="1A1A1A"/>
                <w:sz w:val="17"/>
              </w:rPr>
              <w:t>Art. 3 Abs. 1 lit. x UWG für die Klimawirkung</w:t>
            </w:r>
          </w:p>
        </w:tc>
      </w:tr>
      <w:tr>
        <w:trPr>
          <w:cantSplit w:val="true"/>
        </w:trPr>
        <w:tc>
          <w:tcPr>
            <w:tcW w:type="dxa" w:w="1474"/>
            <w:shd w:val="clear" w:color="auto" w:fill="F3EFE6"/>
          </w:tcPr>
          <w:p>
            <w:pPr>
              <w:spacing w:after="0" w:before="0"/>
            </w:pPr>
            <w:r/>
            <w:r>
              <w:rPr>
                <w:b w:val="0"/>
                <w:i w:val="0"/>
                <w:color w:val="1A1A1A"/>
                <w:sz w:val="17"/>
              </w:rPr>
              <w:t>Staatliche Hilfen für Veranstaltungen</w:t>
            </w:r>
          </w:p>
        </w:tc>
        <w:tc>
          <w:tcPr>
            <w:tcW w:type="dxa" w:w="2721"/>
            <w:shd w:val="clear" w:color="auto" w:fill="F3EFE6"/>
          </w:tcPr>
          <w:p>
            <w:pPr>
              <w:spacing w:after="0" w:before="0"/>
            </w:pPr>
            <w:r/>
            <w:r>
              <w:rPr>
                <w:b w:val="0"/>
                <w:i w:val="0"/>
                <w:color w:val="1A1A1A"/>
                <w:sz w:val="17"/>
              </w:rPr>
              <w:t>Leitfaden für die nachhaltige Organisation von Veranstaltungen (Bundesumweltministerium, Umweltbundesamt)</w:t>
            </w:r>
          </w:p>
        </w:tc>
        <w:tc>
          <w:tcPr>
            <w:tcW w:type="dxa" w:w="2721"/>
            <w:shd w:val="clear" w:color="auto" w:fill="F3EFE6"/>
          </w:tcPr>
          <w:p>
            <w:pPr>
              <w:spacing w:after="0" w:before="0"/>
            </w:pPr>
            <w:r/>
            <w:r>
              <w:rPr>
                <w:b w:val="0"/>
                <w:i w:val="0"/>
                <w:color w:val="1A1A1A"/>
                <w:sz w:val="17"/>
              </w:rPr>
              <w:t>Umweltzeichen UZ 62 «Green Meetings und Green Events»</w:t>
            </w:r>
          </w:p>
        </w:tc>
        <w:tc>
          <w:tcPr>
            <w:tcW w:type="dxa" w:w="2721"/>
            <w:shd w:val="clear" w:color="auto" w:fill="F3EFE6"/>
          </w:tcPr>
          <w:p>
            <w:pPr>
              <w:spacing w:after="0" w:before="0"/>
            </w:pPr>
            <w:r/>
            <w:r>
              <w:rPr>
                <w:b w:val="0"/>
                <w:i w:val="0"/>
                <w:color w:val="1A1A1A"/>
                <w:sz w:val="17"/>
              </w:rPr>
              <w:t>hier nicht ausgewiesen</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1.9.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1.9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1.9 — Die Auswirkungen eines großen Kongresses bewerten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