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2.1</w:t>
      </w:r>
    </w:p>
    <w:p>
      <w:pPr>
        <w:pStyle w:val="Heading1"/>
      </w:pPr>
      <w:r>
        <w:t>Das Kontextpapier für das Veranstaltungsgeschäft schreiben</w:t>
      </w:r>
    </w:p>
    <w:p>
      <w:pPr>
        <w:spacing w:after="0"/>
      </w:pPr>
      <w:r>
        <w:rPr>
          <w:b w:val="0"/>
          <w:i/>
          <w:color w:val="5A5A5A"/>
        </w:rPr>
        <w:t>Abschnitt 2.1 · Den Kontext analysieren</w:t>
      </w:r>
    </w:p>
    <w:p>
      <w:pPr>
        <w:spacing w:after="160"/>
      </w:pPr>
      <w:r>
        <w:rPr>
          <w:b w:val="0"/>
          <w:i w:val="0"/>
          <w:color w:val="5A5A5A"/>
          <w:sz w:val="18"/>
        </w:rPr>
        <w:t>Modellfall im Buch: Bregenz</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Sie heute aufschreiben, was um Ihr Veranstaltungsgeschäft herum geschieht und was in ihm: Welche Entscheidung träfen Sie danach anders als gestern? Und wer in Ihrem Haus weiß längst, was auf Ihrem Papier fehlt?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Eine Zeile im Kontextpapier, am Beispiel der Terrasse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Spalte</w:t>
            </w:r>
          </w:p>
        </w:tc>
        <w:tc>
          <w:tcPr>
            <w:tcW w:type="dxa" w:w="3213"/>
            <w:shd w:val="clear" w:color="auto" w:fill="8C5A2B"/>
          </w:tcPr>
          <w:p>
            <w:pPr>
              <w:spacing w:after="0" w:before="0"/>
            </w:pPr>
            <w:r/>
            <w:r>
              <w:rPr>
                <w:b/>
                <w:i w:val="0"/>
                <w:color w:val="FFFFFF"/>
                <w:sz w:val="18"/>
              </w:rPr>
              <w:t>Frage</w:t>
            </w:r>
          </w:p>
        </w:tc>
        <w:tc>
          <w:tcPr>
            <w:tcW w:type="dxa" w:w="3213"/>
            <w:shd w:val="clear" w:color="auto" w:fill="8C5A2B"/>
          </w:tcPr>
          <w:p>
            <w:pPr>
              <w:spacing w:after="0" w:before="0"/>
            </w:pPr>
            <w:r/>
            <w:r>
              <w:rPr>
                <w:b/>
                <w:i w:val="0"/>
                <w:color w:val="FFFFFF"/>
                <w:sz w:val="18"/>
              </w:rPr>
              <w:t>Eintrag für die untere Terrasse</w:t>
            </w:r>
          </w:p>
        </w:tc>
      </w:tr>
      <w:tr>
        <w:trPr>
          <w:cantSplit w:val="true"/>
        </w:trPr>
        <w:tc>
          <w:tcPr>
            <w:tcW w:type="dxa" w:w="3213"/>
          </w:tcPr>
          <w:p>
            <w:pPr>
              <w:spacing w:after="0" w:before="0"/>
            </w:pPr>
            <w:r/>
            <w:r>
              <w:rPr>
                <w:b w:val="0"/>
                <w:i w:val="0"/>
                <w:color w:val="1A1A1A"/>
                <w:sz w:val="18"/>
              </w:rPr>
              <w:t>Tatsache und Quelle</w:t>
            </w:r>
          </w:p>
        </w:tc>
        <w:tc>
          <w:tcPr>
            <w:tcW w:type="dxa" w:w="3213"/>
          </w:tcPr>
          <w:p>
            <w:pPr>
              <w:spacing w:after="0" w:before="0"/>
            </w:pPr>
            <w:r/>
            <w:r>
              <w:rPr>
                <w:b w:val="0"/>
                <w:i w:val="0"/>
                <w:color w:val="1A1A1A"/>
                <w:sz w:val="18"/>
              </w:rPr>
              <w:t>Was wissen wir, woher?</w:t>
            </w:r>
          </w:p>
        </w:tc>
        <w:tc>
          <w:tcPr>
            <w:tcW w:type="dxa" w:w="3213"/>
          </w:tcPr>
          <w:p>
            <w:pPr>
              <w:spacing w:after="0" w:before="0"/>
            </w:pPr>
            <w:r/>
            <w:r>
              <w:rPr>
                <w:b w:val="0"/>
                <w:i w:val="0"/>
                <w:color w:val="1A1A1A"/>
                <w:sz w:val="18"/>
              </w:rPr>
              <w:t>ab etwa 520 cm Pegel überflutet; zehnjährliches Hochwasser 512 cm, dreißigjährliches 540 cm (Land Vorarlberg)</w:t>
            </w:r>
          </w:p>
        </w:tc>
      </w:tr>
      <w:tr>
        <w:trPr>
          <w:cantSplit w:val="true"/>
        </w:trPr>
        <w:tc>
          <w:tcPr>
            <w:tcW w:type="dxa" w:w="3213"/>
            <w:shd w:val="clear" w:color="auto" w:fill="F3EFE6"/>
          </w:tcPr>
          <w:p>
            <w:pPr>
              <w:spacing w:after="0" w:before="0"/>
            </w:pPr>
            <w:r/>
            <w:r>
              <w:rPr>
                <w:b w:val="0"/>
                <w:i w:val="0"/>
                <w:color w:val="1A1A1A"/>
                <w:sz w:val="18"/>
              </w:rPr>
              <w:t>Wirkung auf das Haus</w:t>
            </w:r>
          </w:p>
        </w:tc>
        <w:tc>
          <w:tcPr>
            <w:tcW w:type="dxa" w:w="3213"/>
            <w:shd w:val="clear" w:color="auto" w:fill="F3EFE6"/>
          </w:tcPr>
          <w:p>
            <w:pPr>
              <w:spacing w:after="0" w:before="0"/>
            </w:pPr>
            <w:r/>
            <w:r>
              <w:rPr>
                <w:b w:val="0"/>
                <w:i w:val="0"/>
                <w:color w:val="1A1A1A"/>
                <w:sz w:val="18"/>
              </w:rPr>
              <w:t>Was erschwert es?</w:t>
            </w:r>
          </w:p>
        </w:tc>
        <w:tc>
          <w:tcPr>
            <w:tcW w:type="dxa" w:w="3213"/>
            <w:shd w:val="clear" w:color="auto" w:fill="F3EFE6"/>
          </w:tcPr>
          <w:p>
            <w:pPr>
              <w:spacing w:after="0" w:before="0"/>
            </w:pPr>
            <w:r/>
            <w:r>
              <w:rPr>
                <w:b w:val="0"/>
                <w:i w:val="0"/>
                <w:color w:val="1A1A1A"/>
                <w:sz w:val="18"/>
              </w:rPr>
              <w:t>Empfänge und Hochzeiten im Juni auf der Terrasse gefährdet</w:t>
            </w:r>
          </w:p>
        </w:tc>
      </w:tr>
      <w:tr>
        <w:trPr>
          <w:cantSplit w:val="true"/>
        </w:trPr>
        <w:tc>
          <w:tcPr>
            <w:tcW w:type="dxa" w:w="3213"/>
          </w:tcPr>
          <w:p>
            <w:pPr>
              <w:spacing w:after="0" w:before="0"/>
            </w:pPr>
            <w:r/>
            <w:r>
              <w:rPr>
                <w:b w:val="0"/>
                <w:i w:val="0"/>
                <w:color w:val="1A1A1A"/>
                <w:sz w:val="18"/>
              </w:rPr>
              <w:t>Wirkung des Hauses</w:t>
            </w:r>
          </w:p>
        </w:tc>
        <w:tc>
          <w:tcPr>
            <w:tcW w:type="dxa" w:w="3213"/>
          </w:tcPr>
          <w:p>
            <w:pPr>
              <w:spacing w:after="0" w:before="0"/>
            </w:pPr>
            <w:r/>
            <w:r>
              <w:rPr>
                <w:b w:val="0"/>
                <w:i w:val="0"/>
                <w:color w:val="1A1A1A"/>
                <w:sz w:val="18"/>
              </w:rPr>
              <w:t>Was bewirken wir?</w:t>
            </w:r>
          </w:p>
        </w:tc>
        <w:tc>
          <w:tcPr>
            <w:tcW w:type="dxa" w:w="3213"/>
          </w:tcPr>
          <w:p>
            <w:pPr>
              <w:spacing w:after="0" w:before="0"/>
            </w:pPr>
            <w:r/>
            <w:r>
              <w:rPr>
                <w:b w:val="0"/>
                <w:i w:val="0"/>
                <w:color w:val="1A1A1A"/>
                <w:sz w:val="18"/>
              </w:rPr>
              <w:t>kurzfristige Umzüge in den Saal, Einweg und Leihmaterial</w:t>
            </w:r>
          </w:p>
        </w:tc>
      </w:tr>
      <w:tr>
        <w:trPr>
          <w:cantSplit w:val="true"/>
        </w:trPr>
        <w:tc>
          <w:tcPr>
            <w:tcW w:type="dxa" w:w="3213"/>
            <w:shd w:val="clear" w:color="auto" w:fill="F3EFE6"/>
          </w:tcPr>
          <w:p>
            <w:pPr>
              <w:spacing w:after="0" w:before="0"/>
            </w:pPr>
            <w:r/>
            <w:r>
              <w:rPr>
                <w:b w:val="0"/>
                <w:i w:val="0"/>
                <w:color w:val="1A1A1A"/>
                <w:sz w:val="18"/>
              </w:rPr>
              <w:t>Folge</w:t>
            </w:r>
          </w:p>
        </w:tc>
        <w:tc>
          <w:tcPr>
            <w:tcW w:type="dxa" w:w="3213"/>
            <w:shd w:val="clear" w:color="auto" w:fill="F3EFE6"/>
          </w:tcPr>
          <w:p>
            <w:pPr>
              <w:spacing w:after="0" w:before="0"/>
            </w:pPr>
            <w:r/>
            <w:r>
              <w:rPr>
                <w:b w:val="0"/>
                <w:i w:val="0"/>
                <w:color w:val="1A1A1A"/>
                <w:sz w:val="18"/>
              </w:rPr>
              <w:t>Was entscheiden wir?</w:t>
            </w:r>
          </w:p>
        </w:tc>
        <w:tc>
          <w:tcPr>
            <w:tcW w:type="dxa" w:w="3213"/>
            <w:shd w:val="clear" w:color="auto" w:fill="F3EFE6"/>
          </w:tcPr>
          <w:p>
            <w:pPr>
              <w:spacing w:after="0" w:before="0"/>
            </w:pPr>
            <w:r/>
            <w:r>
              <w:rPr>
                <w:b w:val="0"/>
                <w:i w:val="0"/>
                <w:color w:val="1A1A1A"/>
                <w:sz w:val="18"/>
              </w:rPr>
              <w:t>Saaloption in jedem Vertrag mit Terrassenteil; Eintrag in die Risikoliste</w:t>
            </w:r>
          </w:p>
        </w:tc>
      </w:tr>
      <w:tr>
        <w:trPr>
          <w:cantSplit w:val="true"/>
        </w:trPr>
        <w:tc>
          <w:tcPr>
            <w:tcW w:type="dxa" w:w="3213"/>
          </w:tcPr>
          <w:p>
            <w:pPr>
              <w:spacing w:after="0" w:before="0"/>
            </w:pPr>
            <w:r/>
            <w:r>
              <w:rPr>
                <w:b w:val="0"/>
                <w:i w:val="0"/>
                <w:color w:val="1A1A1A"/>
                <w:sz w:val="18"/>
              </w:rPr>
              <w:t>Beobachtung</w:t>
            </w:r>
          </w:p>
        </w:tc>
        <w:tc>
          <w:tcPr>
            <w:tcW w:type="dxa" w:w="3213"/>
          </w:tcPr>
          <w:p>
            <w:pPr>
              <w:spacing w:after="0" w:before="0"/>
            </w:pPr>
            <w:r/>
            <w:r>
              <w:rPr>
                <w:b w:val="0"/>
                <w:i w:val="0"/>
                <w:color w:val="1A1A1A"/>
                <w:sz w:val="18"/>
              </w:rPr>
              <w:t>Wer, wann?</w:t>
            </w:r>
          </w:p>
        </w:tc>
        <w:tc>
          <w:tcPr>
            <w:tcW w:type="dxa" w:w="3213"/>
          </w:tcPr>
          <w:p>
            <w:pPr>
              <w:spacing w:after="0" w:before="0"/>
            </w:pPr>
            <w:r/>
            <w:r>
              <w:rPr>
                <w:b w:val="0"/>
                <w:i w:val="0"/>
                <w:color w:val="1A1A1A"/>
                <w:sz w:val="18"/>
              </w:rPr>
              <w:t>Haustechniker, Pegel ab Mai wöchentlich</w:t>
            </w:r>
          </w:p>
        </w:tc>
      </w:tr>
    </w:tbl>
    <w:p>
      <w:pPr>
        <w:spacing w:after="40"/>
      </w:pPr>
    </w:p>
    <w:p>
      <w:pPr>
        <w:pStyle w:val="Heading2"/>
      </w:pPr>
      <w:r>
        <w:t>Praktische Anwendung: das Kontextpapier für das Veranstaltungsgeschäft in sieben Schritten schreiben</w:t>
      </w:r>
    </w:p>
    <w:p>
      <w:pPr>
        <w:tabs>
          <w:tab w:pos="340" w:val="left"/>
        </w:tabs>
        <w:ind w:left="340" w:hanging="340"/>
      </w:pPr>
      <w:r>
        <w:rPr>
          <w:b/>
          <w:color w:val="8C5A2B"/>
        </w:rPr>
        <w:t>1.</w:t>
        <w:tab/>
      </w:r>
      <w:r>
        <w:rPr>
          <w:b/>
        </w:rPr>
        <w:t>Die Grenze ziehen.</w:t>
      </w:r>
      <w:r>
        <w:t xml:space="preserve"> Das Papier gilt dem Veranstaltungsgeschäft: Säle, Terrasse, Bankettküche, Service, Technik, die Nacht danach. Zimmer und Restaurant kommen vor, wo Veranstaltungen sie berühren.</w:t>
      </w:r>
    </w:p>
    <w:p>
      <w:pPr>
        <w:tabs>
          <w:tab w:pos="340" w:val="left"/>
        </w:tabs>
        <w:ind w:left="340" w:hanging="340"/>
      </w:pPr>
      <w:r>
        <w:rPr>
          <w:b/>
          <w:color w:val="8C5A2B"/>
        </w:rPr>
        <w:t>2.</w:t>
        <w:tab/>
      </w:r>
      <w:r>
        <w:rPr>
          <w:b/>
        </w:rPr>
        <w:t>Das Wissen holen, wo es liegt.</w:t>
      </w:r>
      <w:r>
        <w:t xml:space="preserve"> Jede Abteilung bringt ihren Ausschnitt mit Belegen: Nachtbuch und Formulare des Rundgangs, Lieferscheine und Wiegelisten, Dienstpläne, Beschwerden, Fragebögen der Kunden, Unterlagen der Technik. Keine Sitzung beginnt vor einem leeren Bogen.</w:t>
      </w:r>
    </w:p>
    <w:p>
      <w:pPr>
        <w:tabs>
          <w:tab w:pos="340" w:val="left"/>
        </w:tabs>
        <w:ind w:left="340" w:hanging="340"/>
      </w:pPr>
      <w:r>
        <w:rPr>
          <w:b/>
          <w:color w:val="8C5A2B"/>
        </w:rPr>
        <w:t>3.</w:t>
        <w:tab/>
      </w:r>
      <w:r>
        <w:rPr>
          <w:b/>
        </w:rPr>
        <w:t>Außen und innen getrennt suchen.</w:t>
      </w:r>
      <w:r>
        <w:t xml:space="preserve"> Außen hilft eine Vorlage nach Politik, Wirtschaft, Gesellschaft, Technik, Recht und Umwelt. Innen fragt das Team nach Räumen, Anlagen, Menschen und Wissen, mit Engpässen und Namen.</w:t>
      </w:r>
    </w:p>
    <w:p>
      <w:pPr>
        <w:tabs>
          <w:tab w:pos="340" w:val="left"/>
        </w:tabs>
        <w:ind w:left="340" w:hanging="340"/>
      </w:pPr>
      <w:r>
        <w:rPr>
          <w:b/>
          <w:color w:val="8C5A2B"/>
        </w:rPr>
        <w:t>4.</w:t>
        <w:tab/>
      </w:r>
      <w:r>
        <w:rPr>
          <w:b/>
        </w:rPr>
        <w:t>Jede Zeile in zwei Richtungen schreiben.</w:t>
      </w:r>
      <w:r>
        <w:t xml:space="preserve"> Was bewirkt das Thema im Haus, und was bewirkt das Haus in diesem Thema bei anderen, sozial, wirtschaftlich, ökologisch?</w:t>
      </w:r>
    </w:p>
    <w:p>
      <w:pPr>
        <w:tabs>
          <w:tab w:pos="340" w:val="left"/>
        </w:tabs>
        <w:ind w:left="340" w:hanging="340"/>
      </w:pPr>
      <w:r>
        <w:rPr>
          <w:b/>
          <w:color w:val="8C5A2B"/>
        </w:rPr>
        <w:t>5.</w:t>
        <w:tab/>
      </w:r>
      <w:r>
        <w:rPr>
          <w:b/>
        </w:rPr>
        <w:t>Den Klimawandel bestimmen.</w:t>
      </w:r>
      <w:r>
        <w:t xml:space="preserve"> Welche Abläufe hängen am Wetter, was ist dort geschehen, welche Daten gibt es? Am Ende steht relevant oder nicht, mit Begründung und Datum.</w:t>
      </w:r>
    </w:p>
    <w:p>
      <w:pPr>
        <w:tabs>
          <w:tab w:pos="340" w:val="left"/>
        </w:tabs>
        <w:ind w:left="340" w:hanging="340"/>
      </w:pPr>
      <w:r>
        <w:rPr>
          <w:b/>
          <w:color w:val="8C5A2B"/>
        </w:rPr>
        <w:t>6.</w:t>
        <w:tab/>
      </w:r>
      <w:r>
        <w:rPr>
          <w:b/>
        </w:rPr>
        <w:t>Die Prüffrage stellen.</w:t>
      </w:r>
      <w:r>
        <w:t xml:space="preserve"> Was entscheiden wir anders, wenn wir das wissen? Die Antwort wird eine Entscheidung, ein Eintrag in die Risikoliste, ein Thema für die Bewertung oder ein Ziel. Ohne Antwort wird die Zeile gestrichen oder zur Beobachtung.</w:t>
      </w:r>
    </w:p>
    <w:p>
      <w:pPr>
        <w:tabs>
          <w:tab w:pos="340" w:val="left"/>
        </w:tabs>
        <w:ind w:left="340" w:hanging="340"/>
      </w:pPr>
      <w:r>
        <w:rPr>
          <w:b/>
          <w:color w:val="8C5A2B"/>
        </w:rPr>
        <w:t>7.</w:t>
        <w:tab/>
      </w:r>
      <w:r>
        <w:rPr>
          <w:b/>
        </w:rPr>
        <w:t>Beobachter und Termin festlegen.</w:t>
      </w:r>
      <w:r>
        <w:t xml:space="preserve"> Jede Zeile hat einen Namen. Das Papier hat ein Datum, einen Termin für die nächste Durchsicht und eine Liste von Anlässen, bei denen es früher neu geschrieben wird.</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Die Grenze ziehen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Das Wissen holen, wo es liegt</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Außen und innen getrennt suchen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Jede Zeile in zwei Richtungen schreiben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Den Klimawandel bestimmen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Die Prüffrage stellen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Beobachter und Termin festlegen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Gilt unser Kontextpapier ausdrücklich dem Veranstaltungsgeschäft?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Stützt sich jede Zeile auf eine benannte Quelle im Haus oder außerhalb?</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Sagt jede Zeile auch, was das Haus selbst bewirkt?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Stehen unsere Engpässe darin, mit Namen, etwa Spülküche oder Agenturpersonal?</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Haben wir bestimmt, ob der Klimawandel relevant ist, und es begründet?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Folgt aus jeder Zeile eine Entscheidung, ein Risiko, ein Thema oder ein Ziel?</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Werden die Formulare und Bücher der Nacht für das Papier ausgewertet?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das Papier ein Datum und einen Termin für die nächste Durchsicht?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Eine Vierfeldertafel für das Ergebnis halten.</w:t>
      </w:r>
      <w:r>
        <w:t xml:space="preserve"> Sie ist in einer Stunde gefüllt und trägt keine Entscheidung.</w:t>
      </w:r>
    </w:p>
    <w:p>
      <w:pPr>
        <w:tabs>
          <w:tab w:pos="340" w:val="left"/>
        </w:tabs>
        <w:ind w:left="340" w:hanging="340"/>
      </w:pPr>
      <w:r>
        <w:rPr>
          <w:color w:val="8C5A2B"/>
        </w:rPr>
        <w:t>–</w:t>
        <w:tab/>
      </w:r>
      <w:r>
        <w:rPr>
          <w:b/>
        </w:rPr>
        <w:t>Nur fragen, was das Umfeld dem Haus antut.</w:t>
      </w:r>
      <w:r>
        <w:t xml:space="preserve"> Die Auswirkungen des Hauses fehlen dann, und sie verlangt die Norm ausdrücklich.</w:t>
      </w:r>
    </w:p>
    <w:p>
      <w:pPr>
        <w:tabs>
          <w:tab w:pos="340" w:val="left"/>
        </w:tabs>
        <w:ind w:left="340" w:hanging="340"/>
      </w:pPr>
      <w:r>
        <w:rPr>
          <w:color w:val="8C5A2B"/>
        </w:rPr>
        <w:t>–</w:t>
        <w:tab/>
      </w:r>
      <w:r>
        <w:rPr>
          <w:b/>
        </w:rPr>
        <w:t>Den Klimawandel abtun oder überall sehen.</w:t>
      </w:r>
      <w:r>
        <w:t xml:space="preserve"> Beides erspart die Bestimmung mit Begründung.</w:t>
      </w:r>
    </w:p>
    <w:p>
      <w:pPr>
        <w:tabs>
          <w:tab w:pos="340" w:val="left"/>
        </w:tabs>
        <w:ind w:left="340" w:hanging="340"/>
      </w:pPr>
      <w:r>
        <w:rPr>
          <w:color w:val="8C5A2B"/>
        </w:rPr>
        <w:t>–</w:t>
        <w:tab/>
      </w:r>
      <w:r>
        <w:rPr>
          <w:b/>
        </w:rPr>
        <w:t>Die eigenen Engpässe weglassen.</w:t>
      </w:r>
      <w:r>
        <w:t xml:space="preserve"> Ohne Spülküche und Agentur fehlt der Grund für die Einwegbecher.</w:t>
      </w:r>
    </w:p>
    <w:p>
      <w:pPr>
        <w:tabs>
          <w:tab w:pos="340" w:val="left"/>
        </w:tabs>
        <w:ind w:left="340" w:hanging="340"/>
      </w:pPr>
      <w:r>
        <w:rPr>
          <w:color w:val="8C5A2B"/>
        </w:rPr>
        <w:t>–</w:t>
        <w:tab/>
      </w:r>
      <w:r>
        <w:rPr>
          <w:b/>
        </w:rPr>
        <w:t>Das Wissen der Nacht übersehen.</w:t>
      </w:r>
      <w:r>
        <w:t xml:space="preserve"> Was nach Mitternacht im Hof geschieht, steht in keinem Bericht des Tages.</w:t>
      </w:r>
    </w:p>
    <w:p>
      <w:pPr>
        <w:tabs>
          <w:tab w:pos="340" w:val="left"/>
        </w:tabs>
        <w:ind w:left="340" w:hanging="340"/>
      </w:pPr>
      <w:r>
        <w:rPr>
          <w:color w:val="8C5A2B"/>
        </w:rPr>
        <w:t>–</w:t>
        <w:tab/>
      </w:r>
      <w:r>
        <w:rPr>
          <w:b/>
        </w:rPr>
        <w:t>Das Papier ohne Datum ablegen.</w:t>
      </w:r>
      <w:r>
        <w:t xml:space="preserve"> Neue Regeln, ein Fragebogen oder ein Gewitter machen es binnen Monaten alt.</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Auswertung der elf Formulare des Rundgangs</w:t>
            </w:r>
          </w:p>
        </w:tc>
        <w:tc>
          <w:tcPr>
            <w:tcW w:type="dxa" w:w="1474"/>
          </w:tcPr>
          <w:p>
            <w:pPr>
              <w:spacing w:after="0" w:before="0"/>
            </w:pPr>
            <w:r/>
            <w:r>
              <w:rPr>
                <w:b w:val="0"/>
                <w:i w:val="0"/>
                <w:color w:val="1A1A1A"/>
                <w:sz w:val="18"/>
              </w:rPr>
              <w:t>3 Stunden</w:t>
            </w:r>
          </w:p>
        </w:tc>
        <w:tc>
          <w:tcPr>
            <w:tcW w:type="dxa" w:w="3175"/>
          </w:tcPr>
          <w:p>
            <w:pPr>
              <w:spacing w:after="0" w:before="0"/>
            </w:pPr>
            <w:r/>
            <w:r>
              <w:rPr>
                <w:b w:val="0"/>
                <w:i w:val="0"/>
                <w:color w:val="1A1A1A"/>
                <w:sz w:val="18"/>
              </w:rPr>
              <w:t>einmalig, Haustechniker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Pegel, Gefahrenkarten, Auswertung des Verbandes, Fragebögen</w:t>
            </w:r>
          </w:p>
        </w:tc>
        <w:tc>
          <w:tcPr>
            <w:tcW w:type="dxa" w:w="1474"/>
            <w:shd w:val="clear" w:color="auto" w:fill="F3EFE6"/>
          </w:tcPr>
          <w:p>
            <w:pPr>
              <w:spacing w:after="0" w:before="0"/>
            </w:pPr>
            <w:r/>
            <w:r>
              <w:rPr>
                <w:b w:val="0"/>
                <w:i w:val="0"/>
                <w:color w:val="1A1A1A"/>
                <w:sz w:val="18"/>
              </w:rPr>
              <w:t>6 Stunden</w:t>
            </w:r>
          </w:p>
        </w:tc>
        <w:tc>
          <w:tcPr>
            <w:tcW w:type="dxa" w:w="3175"/>
            <w:shd w:val="clear" w:color="auto" w:fill="F3EFE6"/>
          </w:tcPr>
          <w:p>
            <w:pPr>
              <w:spacing w:after="0" w:before="0"/>
            </w:pPr>
            <w:r/>
            <w:r>
              <w:rPr>
                <w:b w:val="0"/>
                <w:i w:val="0"/>
                <w:color w:val="1A1A1A"/>
                <w:sz w:val="18"/>
              </w:rPr>
              <w:t>einmalig, Haustechniker und Bankettleitung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Zwei Sitzungen mit vier Personen zu je 2 Stunden</w:t>
            </w:r>
          </w:p>
        </w:tc>
        <w:tc>
          <w:tcPr>
            <w:tcW w:type="dxa" w:w="1474"/>
          </w:tcPr>
          <w:p>
            <w:pPr>
              <w:spacing w:after="0" w:before="0"/>
            </w:pPr>
            <w:r/>
            <w:r>
              <w:rPr>
                <w:b w:val="0"/>
                <w:i w:val="0"/>
                <w:color w:val="1A1A1A"/>
                <w:sz w:val="18"/>
              </w:rPr>
              <w:t>16 Stunden</w:t>
            </w:r>
          </w:p>
        </w:tc>
        <w:tc>
          <w:tcPr>
            <w:tcW w:type="dxa" w:w="3175"/>
          </w:tcPr>
          <w:p>
            <w:pPr>
              <w:spacing w:after="0" w:before="0"/>
            </w:pPr>
            <w:r/>
            <w:r>
              <w:rPr>
                <w:b w:val="0"/>
                <w:i w:val="0"/>
                <w:color w:val="1A1A1A"/>
                <w:sz w:val="18"/>
              </w:rPr>
              <w:t>Leitung Aufbau, Direktor, Küche, Technik</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Schreiben des Papiers, vier Seiten</w:t>
            </w:r>
          </w:p>
        </w:tc>
        <w:tc>
          <w:tcPr>
            <w:tcW w:type="dxa" w:w="1474"/>
            <w:shd w:val="clear" w:color="auto" w:fill="F3EFE6"/>
          </w:tcPr>
          <w:p>
            <w:pPr>
              <w:spacing w:after="0" w:before="0"/>
            </w:pPr>
            <w:r/>
            <w:r>
              <w:rPr>
                <w:b w:val="0"/>
                <w:i w:val="0"/>
                <w:color w:val="1A1A1A"/>
                <w:sz w:val="18"/>
              </w:rPr>
              <w:t>10 Stunden</w:t>
            </w:r>
          </w:p>
        </w:tc>
        <w:tc>
          <w:tcPr>
            <w:tcW w:type="dxa" w:w="3175"/>
            <w:shd w:val="clear" w:color="auto" w:fill="F3EFE6"/>
          </w:tcPr>
          <w:p>
            <w:pPr>
              <w:spacing w:after="0" w:before="0"/>
            </w:pPr>
            <w:r/>
            <w:r>
              <w:rPr>
                <w:b w:val="0"/>
                <w:i w:val="0"/>
                <w:color w:val="1A1A1A"/>
                <w:sz w:val="18"/>
              </w:rPr>
              <w:t>Leiterin Bankett und Veranstaltungen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Einwegbecher der Terrassenbar bisher: 14.000 zu € 0,11</w:t>
            </w:r>
          </w:p>
        </w:tc>
        <w:tc>
          <w:tcPr>
            <w:tcW w:type="dxa" w:w="1474"/>
          </w:tcPr>
          <w:p>
            <w:pPr>
              <w:spacing w:after="0" w:before="0"/>
            </w:pPr>
            <w:r/>
            <w:r>
              <w:rPr>
                <w:b w:val="0"/>
                <w:i w:val="0"/>
                <w:color w:val="1A1A1A"/>
                <w:sz w:val="18"/>
              </w:rPr>
              <w:t>€ 1.540</w:t>
            </w:r>
          </w:p>
        </w:tc>
        <w:tc>
          <w:tcPr>
            <w:tcW w:type="dxa" w:w="3175"/>
          </w:tcPr>
          <w:p>
            <w:pPr>
              <w:spacing w:after="0" w:before="0"/>
            </w:pPr>
            <w:r/>
            <w:r>
              <w:rPr>
                <w:b w:val="0"/>
                <w:i w:val="0"/>
                <w:color w:val="1A1A1A"/>
                <w:sz w:val="18"/>
              </w:rPr>
              <w:t>je Saison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Zweite Spülkraft nach 23 Uhr: 25 Feste × 3 Stunden zu € 26</w:t>
            </w:r>
          </w:p>
        </w:tc>
        <w:tc>
          <w:tcPr>
            <w:tcW w:type="dxa" w:w="1474"/>
            <w:shd w:val="clear" w:color="auto" w:fill="F3EFE6"/>
          </w:tcPr>
          <w:p>
            <w:pPr>
              <w:spacing w:after="0" w:before="0"/>
            </w:pPr>
            <w:r/>
            <w:r>
              <w:rPr>
                <w:b w:val="0"/>
                <w:i w:val="0"/>
                <w:color w:val="1A1A1A"/>
                <w:sz w:val="18"/>
              </w:rPr>
              <w:t>€ 1.950</w:t>
            </w:r>
          </w:p>
        </w:tc>
        <w:tc>
          <w:tcPr>
            <w:tcW w:type="dxa" w:w="3175"/>
            <w:shd w:val="clear" w:color="auto" w:fill="F3EFE6"/>
          </w:tcPr>
          <w:p>
            <w:pPr>
              <w:spacing w:after="0" w:before="0"/>
            </w:pPr>
            <w:r/>
            <w:r>
              <w:rPr>
                <w:b w:val="0"/>
                <w:i w:val="0"/>
                <w:color w:val="1A1A1A"/>
                <w:sz w:val="18"/>
              </w:rPr>
              <w:t>je Jahr; ersetzt die Becher bei großen Festen</w:t>
            </w:r>
          </w:p>
        </w:tc>
        <w:tc>
          <w:tcPr>
            <w:tcW w:type="dxa" w:w="1814"/>
            <w:shd w:val="clear" w:color="auto" w:fill="F3EFE6"/>
          </w:tcPr>
          <w:p>
            <w:pPr>
              <w:spacing w:after="0" w:before="0"/>
            </w:pPr>
            <w:r/>
            <w:r>
              <w:rPr>
                <w:b w:val="0"/>
                <w:i w:val="0"/>
                <w:color w:val="1A1A1A"/>
                <w:sz w:val="18"/>
              </w:rPr>
            </w:r>
          </w:p>
        </w:tc>
      </w:tr>
    </w:tbl>
    <w:p>
      <w:pPr>
        <w:spacing w:after="40"/>
      </w:pPr>
    </w:p>
    <w:p>
      <w:r>
        <w:rPr>
          <w:b w:val="0"/>
          <w:i w:val="0"/>
        </w:rPr>
        <w:t>Fünfunddreißig Stunden eigener Arbeit ergeben das Papier. Die beiden Beträge darunter zeigen, wozu es dient: Die Entscheidung über Becher und Spülkraft kostet rund vierhundert Euro im Jahr mehr, und das Haus kann danach wieder sagen, an der Terrassenbar werde Glas ausgegeben, und es stimmt.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Externe und interne Themen bestimmen (4.1)</w:t>
            </w:r>
          </w:p>
        </w:tc>
        <w:tc>
          <w:tcPr>
            <w:tcW w:type="dxa" w:w="3175"/>
          </w:tcPr>
          <w:p>
            <w:pPr>
              <w:spacing w:after="0" w:before="0"/>
            </w:pPr>
            <w:r/>
            <w:r>
              <w:rPr>
                <w:b w:val="0"/>
                <w:i w:val="0"/>
                <w:color w:val="1A1A1A"/>
                <w:sz w:val="18"/>
              </w:rPr>
              <w:t>Kontextpapier des Veranstaltungsgeschäfts, vier Seiten</w:t>
            </w:r>
          </w:p>
        </w:tc>
        <w:tc>
          <w:tcPr>
            <w:tcW w:type="dxa" w:w="3175"/>
          </w:tcPr>
          <w:p>
            <w:pPr>
              <w:spacing w:after="0" w:before="0"/>
            </w:pPr>
            <w:r/>
            <w:r>
              <w:rPr>
                <w:b w:val="0"/>
                <w:i w:val="0"/>
                <w:color w:val="1A1A1A"/>
                <w:sz w:val="18"/>
              </w:rPr>
              <w:t>SWOT, PESTEL (Anm. 2 zu 4.1)</w:t>
            </w:r>
          </w:p>
        </w:tc>
      </w:tr>
      <w:tr>
        <w:trPr>
          <w:cantSplit w:val="true"/>
        </w:trPr>
        <w:tc>
          <w:tcPr>
            <w:tcW w:type="dxa" w:w="3288"/>
            <w:shd w:val="clear" w:color="auto" w:fill="F3EFE6"/>
          </w:tcPr>
          <w:p>
            <w:pPr>
              <w:spacing w:after="0" w:before="0"/>
            </w:pPr>
            <w:r/>
            <w:r>
              <w:rPr>
                <w:b w:val="0"/>
                <w:i w:val="0"/>
                <w:color w:val="1A1A1A"/>
                <w:sz w:val="18"/>
              </w:rPr>
              <w:t>Auswirkungen der Themen einschließen (4.1)</w:t>
            </w:r>
          </w:p>
        </w:tc>
        <w:tc>
          <w:tcPr>
            <w:tcW w:type="dxa" w:w="3175"/>
            <w:shd w:val="clear" w:color="auto" w:fill="F3EFE6"/>
          </w:tcPr>
          <w:p>
            <w:pPr>
              <w:spacing w:after="0" w:before="0"/>
            </w:pPr>
            <w:r/>
            <w:r>
              <w:rPr>
                <w:b w:val="0"/>
                <w:i w:val="0"/>
                <w:color w:val="1A1A1A"/>
                <w:sz w:val="18"/>
              </w:rPr>
              <w:t>Spalte «Wirkung des Hauses» je Zeile</w:t>
            </w:r>
          </w:p>
        </w:tc>
        <w:tc>
          <w:tcPr>
            <w:tcW w:type="dxa" w:w="3175"/>
            <w:shd w:val="clear" w:color="auto" w:fill="F3EFE6"/>
          </w:tcPr>
          <w:p>
            <w:pPr>
              <w:spacing w:after="0" w:before="0"/>
            </w:pPr>
            <w:r/>
            <w:r>
              <w:rPr>
                <w:b w:val="0"/>
                <w:i w:val="0"/>
                <w:color w:val="1A1A1A"/>
                <w:sz w:val="18"/>
              </w:rPr>
              <w:t>Methode: zwei Richtungen je Zeile</w:t>
            </w:r>
          </w:p>
        </w:tc>
      </w:tr>
      <w:tr>
        <w:trPr>
          <w:cantSplit w:val="true"/>
        </w:trPr>
        <w:tc>
          <w:tcPr>
            <w:tcW w:type="dxa" w:w="3288"/>
          </w:tcPr>
          <w:p>
            <w:pPr>
              <w:spacing w:after="0" w:before="0"/>
            </w:pPr>
            <w:r/>
            <w:r>
              <w:rPr>
                <w:b w:val="0"/>
                <w:i w:val="0"/>
                <w:color w:val="1A1A1A"/>
                <w:sz w:val="18"/>
              </w:rPr>
              <w:t>Bestimmen, ob der Klimawandel relevant ist (4.1)</w:t>
            </w:r>
          </w:p>
        </w:tc>
        <w:tc>
          <w:tcPr>
            <w:tcW w:type="dxa" w:w="3175"/>
          </w:tcPr>
          <w:p>
            <w:pPr>
              <w:spacing w:after="0" w:before="0"/>
            </w:pPr>
            <w:r/>
            <w:r>
              <w:rPr>
                <w:b w:val="0"/>
                <w:i w:val="0"/>
                <w:color w:val="1A1A1A"/>
                <w:sz w:val="18"/>
              </w:rPr>
              <w:t>Vermerk mit Begründung und Datum</w:t>
            </w:r>
          </w:p>
        </w:tc>
        <w:tc>
          <w:tcPr>
            <w:tcW w:type="dxa" w:w="3175"/>
          </w:tcPr>
          <w:p>
            <w:pPr>
              <w:spacing w:after="0" w:before="0"/>
            </w:pPr>
            <w:r/>
            <w:r>
              <w:rPr>
                <w:b w:val="0"/>
                <w:i w:val="0"/>
                <w:color w:val="1A1A1A"/>
                <w:sz w:val="18"/>
              </w:rPr>
              <w:t>Rahmenwerke wie die UN-Nachhaltigkeitsziele (Anm. 1; A.11)</w:t>
            </w:r>
          </w:p>
        </w:tc>
      </w:tr>
      <w:tr>
        <w:trPr>
          <w:cantSplit w:val="true"/>
        </w:trPr>
        <w:tc>
          <w:tcPr>
            <w:tcW w:type="dxa" w:w="3288"/>
            <w:shd w:val="clear" w:color="auto" w:fill="F3EFE6"/>
          </w:tcPr>
          <w:p>
            <w:pPr>
              <w:spacing w:after="0" w:before="0"/>
            </w:pPr>
            <w:r/>
            <w:r>
              <w:rPr>
                <w:b w:val="0"/>
                <w:i w:val="0"/>
                <w:color w:val="1A1A1A"/>
                <w:sz w:val="18"/>
              </w:rPr>
              <w:t>Themen beim Anwendungsbereich berücksichtigen (4.3)</w:t>
            </w:r>
          </w:p>
        </w:tc>
        <w:tc>
          <w:tcPr>
            <w:tcW w:type="dxa" w:w="3175"/>
            <w:shd w:val="clear" w:color="auto" w:fill="F3EFE6"/>
          </w:tcPr>
          <w:p>
            <w:pPr>
              <w:spacing w:after="0" w:before="0"/>
            </w:pPr>
            <w:r/>
            <w:r>
              <w:rPr>
                <w:b w:val="0"/>
                <w:i w:val="0"/>
                <w:color w:val="1A1A1A"/>
                <w:sz w:val="18"/>
              </w:rPr>
              <w:t>Anwendungsbereich mit Verweis auf das Kontextpapier</w:t>
            </w:r>
          </w:p>
        </w:tc>
        <w:tc>
          <w:tcPr>
            <w:tcW w:type="dxa" w:w="3175"/>
            <w:shd w:val="clear" w:color="auto" w:fill="F3EFE6"/>
          </w:tcPr>
          <w:p>
            <w:pPr>
              <w:spacing w:after="0" w:before="0"/>
            </w:pPr>
            <w:r/>
            <w:r>
              <w:rPr>
                <w:b w:val="0"/>
                <w:i w:val="0"/>
                <w:color w:val="1A1A1A"/>
                <w:sz w:val="18"/>
              </w:rPr>
              <w:t>Beispiele für Grenzen (A.5)</w:t>
            </w:r>
          </w:p>
        </w:tc>
      </w:tr>
      <w:tr>
        <w:trPr>
          <w:cantSplit w:val="true"/>
        </w:trPr>
        <w:tc>
          <w:tcPr>
            <w:tcW w:type="dxa" w:w="3288"/>
          </w:tcPr>
          <w:p>
            <w:pPr>
              <w:spacing w:after="0" w:before="0"/>
            </w:pPr>
            <w:r/>
            <w:r>
              <w:rPr>
                <w:b w:val="0"/>
                <w:i w:val="0"/>
                <w:color w:val="1A1A1A"/>
                <w:sz w:val="18"/>
              </w:rPr>
              <w:t>Themen bei Risiken und Chancen berücksichtigen (6.1.1)</w:t>
            </w:r>
          </w:p>
        </w:tc>
        <w:tc>
          <w:tcPr>
            <w:tcW w:type="dxa" w:w="3175"/>
          </w:tcPr>
          <w:p>
            <w:pPr>
              <w:spacing w:after="0" w:before="0"/>
            </w:pPr>
            <w:r/>
            <w:r>
              <w:rPr>
                <w:b w:val="0"/>
                <w:i w:val="0"/>
                <w:color w:val="1A1A1A"/>
                <w:sz w:val="18"/>
              </w:rPr>
              <w:t>Verweis je Zeile auf die Risikoliste</w:t>
            </w:r>
          </w:p>
        </w:tc>
        <w:tc>
          <w:tcPr>
            <w:tcW w:type="dxa" w:w="3175"/>
          </w:tcPr>
          <w:p>
            <w:pPr>
              <w:spacing w:after="0" w:before="0"/>
            </w:pPr>
            <w:r/>
            <w:r>
              <w:rPr>
                <w:b w:val="0"/>
                <w:i w:val="0"/>
                <w:color w:val="1A1A1A"/>
                <w:sz w:val="18"/>
              </w:rPr>
              <w:t>ISO 31000 (Anm. 1 zu 6.1.1)</w:t>
            </w:r>
          </w:p>
        </w:tc>
      </w:tr>
      <w:tr>
        <w:trPr>
          <w:cantSplit w:val="true"/>
        </w:trPr>
        <w:tc>
          <w:tcPr>
            <w:tcW w:type="dxa" w:w="3288"/>
            <w:shd w:val="clear" w:color="auto" w:fill="F3EFE6"/>
          </w:tcPr>
          <w:p>
            <w:pPr>
              <w:spacing w:after="0" w:before="0"/>
            </w:pPr>
            <w:r/>
            <w:r>
              <w:rPr>
                <w:b w:val="0"/>
                <w:i w:val="0"/>
                <w:color w:val="1A1A1A"/>
                <w:sz w:val="18"/>
              </w:rPr>
              <w:t>Sich ändernde Umstände in der Managementbewertung (9.3.2 j)</w:t>
            </w:r>
          </w:p>
        </w:tc>
        <w:tc>
          <w:tcPr>
            <w:tcW w:type="dxa" w:w="3175"/>
            <w:shd w:val="clear" w:color="auto" w:fill="F3EFE6"/>
          </w:tcPr>
          <w:p>
            <w:pPr>
              <w:spacing w:after="0" w:before="0"/>
            </w:pPr>
            <w:r/>
            <w:r>
              <w:rPr>
                <w:b w:val="0"/>
                <w:i w:val="0"/>
                <w:color w:val="1A1A1A"/>
                <w:sz w:val="18"/>
              </w:rPr>
              <w:t>Datum der nächsten Durchsicht</w:t>
            </w:r>
          </w:p>
        </w:tc>
        <w:tc>
          <w:tcPr>
            <w:tcW w:type="dxa" w:w="3175"/>
            <w:shd w:val="clear" w:color="auto" w:fill="F3EFE6"/>
          </w:tcPr>
          <w:p>
            <w:pPr>
              <w:spacing w:after="0" w:before="0"/>
            </w:pPr>
            <w:r/>
            <w:r>
              <w:rPr>
                <w:b w:val="0"/>
                <w:i w:val="0"/>
                <w:color w:val="1A1A1A"/>
                <w:sz w:val="18"/>
              </w:rPr>
              <w:t>Methode: Anlässe für eine Neufassung</w:t>
            </w:r>
          </w:p>
        </w:tc>
      </w:tr>
    </w:tbl>
    <w:p>
      <w:pPr>
        <w:spacing w:after="40"/>
      </w:pPr>
    </w:p>
    <w:p>
      <w:pPr>
        <w:pStyle w:val="Heading2"/>
      </w:pPr>
      <w:r>
        <w:t>DACH-Anker: wo das Haus Teile seines Kontexts nachliest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Umweltaussagen in der Werbung</w:t>
            </w:r>
          </w:p>
        </w:tc>
        <w:tc>
          <w:tcPr>
            <w:tcW w:type="dxa" w:w="2721"/>
          </w:tcPr>
          <w:p>
            <w:pPr>
              <w:spacing w:after="0" w:before="0"/>
            </w:pPr>
            <w:r/>
            <w:r>
              <w:rPr>
                <w:b w:val="0"/>
                <w:i w:val="0"/>
                <w:color w:val="1A1A1A"/>
                <w:sz w:val="17"/>
              </w:rPr>
              <w:t>UWG, geändert durch BGBl. 2026 I Nr. 43; gegenüber Verbrauchern ab 27. September 2026</w:t>
            </w:r>
          </w:p>
        </w:tc>
        <w:tc>
          <w:tcPr>
            <w:tcW w:type="dxa" w:w="2721"/>
          </w:tcPr>
          <w:p>
            <w:pPr>
              <w:spacing w:after="0" w:before="0"/>
            </w:pPr>
            <w:r/>
            <w:r>
              <w:rPr>
                <w:b w:val="0"/>
                <w:i w:val="0"/>
                <w:color w:val="1A1A1A"/>
                <w:sz w:val="17"/>
              </w:rPr>
              <w:t>UWG-Novelle, BGBl. I Nr. 58/2026; Umweltaussagen gegenüber Verbrauchern ab 27. September 2026</w:t>
            </w:r>
          </w:p>
        </w:tc>
        <w:tc>
          <w:tcPr>
            <w:tcW w:type="dxa" w:w="2721"/>
          </w:tcPr>
          <w:p>
            <w:pPr>
              <w:spacing w:after="0" w:before="0"/>
            </w:pPr>
            <w:r/>
            <w:r>
              <w:rPr>
                <w:b w:val="0"/>
                <w:i w:val="0"/>
                <w:color w:val="1A1A1A"/>
                <w:sz w:val="17"/>
              </w:rPr>
              <w:t>Klimaaussagen nur mit objektiven und überprüfbaren Grundlagen (Art. 3 Abs. 1 lit. x UWG, seit 1. Januar 2025)</w:t>
            </w:r>
          </w:p>
        </w:tc>
      </w:tr>
      <w:tr>
        <w:trPr>
          <w:cantSplit w:val="true"/>
        </w:trPr>
        <w:tc>
          <w:tcPr>
            <w:tcW w:type="dxa" w:w="1474"/>
            <w:shd w:val="clear" w:color="auto" w:fill="F3EFE6"/>
          </w:tcPr>
          <w:p>
            <w:pPr>
              <w:spacing w:after="0" w:before="0"/>
            </w:pPr>
            <w:r/>
            <w:r>
              <w:rPr>
                <w:b w:val="0"/>
                <w:i w:val="0"/>
                <w:color w:val="1A1A1A"/>
                <w:sz w:val="17"/>
              </w:rPr>
              <w:t>Barrierefreie Online-Buchung</w:t>
            </w:r>
          </w:p>
        </w:tc>
        <w:tc>
          <w:tcPr>
            <w:tcW w:type="dxa" w:w="2721"/>
            <w:shd w:val="clear" w:color="auto" w:fill="F3EFE6"/>
          </w:tcPr>
          <w:p>
            <w:pPr>
              <w:spacing w:after="0" w:before="0"/>
            </w:pPr>
            <w:r/>
            <w:r>
              <w:rPr>
                <w:b w:val="0"/>
                <w:i w:val="0"/>
                <w:color w:val="1A1A1A"/>
                <w:sz w:val="17"/>
              </w:rPr>
              <w:t>BFSG seit 28. Juni 2025; Dienstleistungen im elektronischen Geschäftsverkehr; Kleinstunternehmen ausgenommen</w:t>
            </w:r>
          </w:p>
        </w:tc>
        <w:tc>
          <w:tcPr>
            <w:tcW w:type="dxa" w:w="2721"/>
            <w:shd w:val="clear" w:color="auto" w:fill="F3EFE6"/>
          </w:tcPr>
          <w:p>
            <w:pPr>
              <w:spacing w:after="0" w:before="0"/>
            </w:pPr>
            <w:r/>
            <w:r>
              <w:rPr>
                <w:b w:val="0"/>
                <w:i w:val="0"/>
                <w:color w:val="1A1A1A"/>
                <w:sz w:val="17"/>
              </w:rPr>
              <w:t>BaFG seit 28. Juni 2025; nach der Wirtschaftskammer ausdrücklich auch Buchungsmöglichkeiten von Hotels</w:t>
            </w:r>
          </w:p>
        </w:tc>
        <w:tc>
          <w:tcPr>
            <w:tcW w:type="dxa" w:w="2721"/>
            <w:shd w:val="clear" w:color="auto" w:fill="F3EFE6"/>
          </w:tcPr>
          <w:p>
            <w:pPr>
              <w:spacing w:after="0" w:before="0"/>
            </w:pPr>
            <w:r/>
            <w:r>
              <w:rPr>
                <w:b w:val="0"/>
                <w:i w:val="0"/>
                <w:color w:val="1A1A1A"/>
                <w:sz w:val="17"/>
              </w:rPr>
              <w:t>BehiG: Diskriminierungsverbot für private Dienstleister; keine Pflicht zu barrierefreien privaten Internetangeboten</w:t>
            </w:r>
          </w:p>
        </w:tc>
      </w:tr>
      <w:tr>
        <w:trPr>
          <w:cantSplit w:val="true"/>
        </w:trPr>
        <w:tc>
          <w:tcPr>
            <w:tcW w:type="dxa" w:w="1474"/>
          </w:tcPr>
          <w:p>
            <w:pPr>
              <w:spacing w:after="0" w:before="0"/>
            </w:pPr>
            <w:r/>
            <w:r>
              <w:rPr>
                <w:b w:val="0"/>
                <w:i w:val="0"/>
                <w:color w:val="1A1A1A"/>
                <w:sz w:val="17"/>
              </w:rPr>
              <w:t>Hochwasser und Naturgefahren</w:t>
            </w:r>
          </w:p>
        </w:tc>
        <w:tc>
          <w:tcPr>
            <w:tcW w:type="dxa" w:w="2721"/>
          </w:tcPr>
          <w:p>
            <w:pPr>
              <w:spacing w:after="0" w:before="0"/>
            </w:pPr>
            <w:r/>
            <w:r>
              <w:rPr>
                <w:b w:val="0"/>
                <w:i w:val="0"/>
                <w:color w:val="1A1A1A"/>
                <w:sz w:val="17"/>
              </w:rPr>
              <w:t>Gefahren- und Risikokarten der zuständigen Behörden (§ 74 WHG)</w:t>
            </w:r>
          </w:p>
        </w:tc>
        <w:tc>
          <w:tcPr>
            <w:tcW w:type="dxa" w:w="2721"/>
          </w:tcPr>
          <w:p>
            <w:pPr>
              <w:spacing w:after="0" w:before="0"/>
            </w:pPr>
            <w:r/>
            <w:r>
              <w:rPr>
                <w:b w:val="0"/>
                <w:i w:val="0"/>
                <w:color w:val="1A1A1A"/>
                <w:sz w:val="17"/>
              </w:rPr>
              <w:t>Plattform HORA des zuständigen Bundesministeriums, seit 2026 mit Angaben zur Hitze; Pegel der Länder</w:t>
            </w:r>
          </w:p>
        </w:tc>
        <w:tc>
          <w:tcPr>
            <w:tcW w:type="dxa" w:w="2721"/>
          </w:tcPr>
          <w:p>
            <w:pPr>
              <w:spacing w:after="0" w:before="0"/>
            </w:pPr>
            <w:r/>
            <w:r>
              <w:rPr>
                <w:b w:val="0"/>
                <w:i w:val="0"/>
                <w:color w:val="1A1A1A"/>
                <w:sz w:val="17"/>
              </w:rPr>
              <w:t>Gefahrenkarten der Kantone, nach den Bundesgesetzen über Wasserbau und Wald</w:t>
            </w:r>
          </w:p>
        </w:tc>
      </w:tr>
      <w:tr>
        <w:trPr>
          <w:cantSplit w:val="true"/>
        </w:trPr>
        <w:tc>
          <w:tcPr>
            <w:tcW w:type="dxa" w:w="1474"/>
            <w:shd w:val="clear" w:color="auto" w:fill="F3EFE6"/>
          </w:tcPr>
          <w:p>
            <w:pPr>
              <w:spacing w:after="0" w:before="0"/>
            </w:pPr>
            <w:r/>
            <w:r>
              <w:rPr>
                <w:b w:val="0"/>
                <w:i w:val="0"/>
                <w:color w:val="1A1A1A"/>
                <w:sz w:val="17"/>
              </w:rPr>
              <w:t>Berichtspflichten der Kunden</w:t>
            </w:r>
          </w:p>
        </w:tc>
        <w:tc>
          <w:tcPr>
            <w:tcW w:type="dxa" w:w="2721"/>
            <w:shd w:val="clear" w:color="auto" w:fill="F3EFE6"/>
          </w:tcPr>
          <w:p>
            <w:pPr>
              <w:spacing w:after="0" w:before="0"/>
            </w:pPr>
            <w:r/>
            <w:r>
              <w:rPr>
                <w:b w:val="0"/>
                <w:i w:val="0"/>
                <w:color w:val="1A1A1A"/>
                <w:sz w:val="17"/>
              </w:rPr>
              <w:t>CSRD nach Omnibus I künftig, nach Umsetzung in nationales Recht, nur ab mehr als 1.000 Beschäftigten und mehr als 450 Mio. Euro Nettoumsatz</w:t>
            </w:r>
          </w:p>
        </w:tc>
        <w:tc>
          <w:tcPr>
            <w:tcW w:type="dxa" w:w="2721"/>
            <w:shd w:val="clear" w:color="auto" w:fill="F3EFE6"/>
          </w:tcPr>
          <w:p>
            <w:pPr>
              <w:spacing w:after="0" w:before="0"/>
            </w:pPr>
            <w:r/>
            <w:r>
              <w:rPr>
                <w:b w:val="0"/>
                <w:i w:val="0"/>
                <w:color w:val="1A1A1A"/>
                <w:sz w:val="17"/>
              </w:rPr>
              <w:t>ebenso</w:t>
            </w:r>
          </w:p>
        </w:tc>
        <w:tc>
          <w:tcPr>
            <w:tcW w:type="dxa" w:w="2721"/>
            <w:shd w:val="clear" w:color="auto" w:fill="F3EFE6"/>
          </w:tcPr>
          <w:p>
            <w:pPr>
              <w:spacing w:after="0" w:before="0"/>
            </w:pPr>
            <w:r/>
            <w:r>
              <w:rPr>
                <w:b w:val="0"/>
                <w:i w:val="0"/>
                <w:color w:val="1A1A1A"/>
                <w:sz w:val="17"/>
              </w:rPr>
              <w:t>Art. 964a ff. OR für große Publikumsgesellschaften und Finanzunternehmen</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2.1.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2.1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2.1 — Das Kontextpapier für das Veranstaltungsgeschäft schreiben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