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color w:val="8C5A2B"/>
          <w:sz w:val="18"/>
        </w:rPr>
        <w:t>ARBEITSMATERIAL 2.10</w:t>
      </w:r>
    </w:p>
    <w:p>
      <w:pPr>
        <w:pStyle w:val="Heading1"/>
      </w:pPr>
      <w:r>
        <w:t>Eine Änderung steuern</w:t>
      </w:r>
    </w:p>
    <w:p>
      <w:pPr>
        <w:spacing w:after="0"/>
      </w:pPr>
      <w:r>
        <w:rPr>
          <w:b w:val="0"/>
          <w:i/>
          <w:color w:val="5A5A5A"/>
        </w:rPr>
        <w:t>Abschnitt 2.10 · Änderungen steuern</w:t>
      </w:r>
    </w:p>
    <w:p>
      <w:pPr>
        <w:spacing w:after="160"/>
      </w:pPr>
      <w:r>
        <w:rPr>
          <w:b w:val="0"/>
          <w:i w:val="0"/>
          <w:color w:val="5A5A5A"/>
          <w:sz w:val="18"/>
        </w:rPr>
        <w:t>Modellfall im Buch: Garmisch-Partenkirchen</w:t>
      </w:r>
    </w:p>
    <w:tbl>
      <w:tblPr>
        <w:tblW w:type="auto" w:w="0"/>
        <w:tblLook w:firstColumn="1" w:firstRow="1" w:lastColumn="0" w:lastRow="0" w:noHBand="0" w:noVBand="1" w:val="04A0"/>
        <w:tblCellMar>
          <w:top w:w="120" w:type="dxa"/>
          <w:left w:w="160" w:type="dxa"/>
          <w:bottom w:w="120" w:type="dxa"/>
          <w:right w:w="160" w:type="dxa"/>
        </w:tblCellMar>
      </w:tblPr>
      <w:tblGrid>
        <w:gridCol w:w="9638"/>
      </w:tblGrid>
      <w:tr>
        <w:tc>
          <w:tcPr>
            <w:tcW w:type="dxa" w:w="9638"/>
            <w:shd w:val="clear" w:color="auto" w:fill="EFE7DC"/>
          </w:tcPr>
          <w:p>
            <w:r/>
            <w:r>
              <w:rPr>
                <w:b/>
                <w:color w:val="8C5A2B"/>
                <w:sz w:val="18"/>
              </w:rPr>
              <w:t>LEITFRAGE</w:t>
              <w:br/>
            </w:r>
            <w:r>
              <w:rPr>
                <w:sz w:val="21"/>
              </w:rPr>
              <w:t>Wenn ein Kunde drei Tage vor seinem Fest die Gästezahl verdoppelt: Wer in Ihrem Haus sagt ja, und woran misst er seine Antwort? Und wo steht hinterher, was entschieden wurde und warum?</w:t>
            </w:r>
          </w:p>
        </w:tc>
      </w:tr>
    </w:tbl>
    <w:p>
      <w:pPr>
        <w:spacing w:after="0"/>
      </w:pPr>
    </w:p>
    <w:p>
      <w:r>
        <w:rPr>
          <w:sz w:val="18"/>
        </w:rPr>
        <w:t>Dieses Blatt gibt das Arbeitsmaterial des Abschnitts in bearbeitbarer Form wieder. Die Texte stammen aus dem Buch; die leeren Spalten sind für die Angaben des eigenen Hauses bestimmt.</w:t>
      </w:r>
    </w:p>
    <w:p>
      <w:pPr>
        <w:pStyle w:val="Heading2"/>
      </w:pPr>
      <w:r>
        <w:t>Das Werkzeug: Drei Stufen einer Änderung</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13"/>
        <w:gridCol w:w="3213"/>
        <w:gridCol w:w="3213"/>
      </w:tblGrid>
      <w:tr>
        <w:trPr>
          <w:cantSplit w:val="true"/>
          <w:tblHeader w:val="true"/>
        </w:trPr>
        <w:tc>
          <w:tcPr>
            <w:tcW w:type="dxa" w:w="3213"/>
            <w:shd w:val="clear" w:color="auto" w:fill="8C5A2B"/>
          </w:tcPr>
          <w:p>
            <w:pPr>
              <w:spacing w:after="0" w:before="0"/>
            </w:pPr>
            <w:r/>
            <w:r>
              <w:rPr>
                <w:b/>
                <w:i w:val="0"/>
                <w:color w:val="FFFFFF"/>
                <w:sz w:val="18"/>
              </w:rPr>
              <w:t>Stufe</w:t>
            </w:r>
          </w:p>
        </w:tc>
        <w:tc>
          <w:tcPr>
            <w:tcW w:type="dxa" w:w="3213"/>
            <w:shd w:val="clear" w:color="auto" w:fill="8C5A2B"/>
          </w:tcPr>
          <w:p>
            <w:pPr>
              <w:spacing w:after="0" w:before="0"/>
            </w:pPr>
            <w:r/>
            <w:r>
              <w:rPr>
                <w:b/>
                <w:i w:val="0"/>
                <w:color w:val="FFFFFF"/>
                <w:sz w:val="18"/>
              </w:rPr>
              <w:t>Woran sie zu erkennen ist</w:t>
            </w:r>
          </w:p>
        </w:tc>
        <w:tc>
          <w:tcPr>
            <w:tcW w:type="dxa" w:w="3213"/>
            <w:shd w:val="clear" w:color="auto" w:fill="8C5A2B"/>
          </w:tcPr>
          <w:p>
            <w:pPr>
              <w:spacing w:after="0" w:before="0"/>
            </w:pPr>
            <w:r/>
            <w:r>
              <w:rPr>
                <w:b/>
                <w:i w:val="0"/>
                <w:color w:val="FFFFFF"/>
                <w:sz w:val="18"/>
              </w:rPr>
              <w:t>Wer entscheidet, was festgehalten wird</w:t>
            </w:r>
          </w:p>
        </w:tc>
      </w:tr>
      <w:tr>
        <w:trPr>
          <w:cantSplit w:val="true"/>
        </w:trPr>
        <w:tc>
          <w:tcPr>
            <w:tcW w:type="dxa" w:w="3213"/>
          </w:tcPr>
          <w:p>
            <w:pPr>
              <w:spacing w:after="0" w:before="0"/>
            </w:pPr>
            <w:r/>
            <w:r>
              <w:rPr>
                <w:b w:val="0"/>
                <w:i w:val="0"/>
                <w:color w:val="1A1A1A"/>
                <w:sz w:val="18"/>
              </w:rPr>
              <w:t>1 Anpassung</w:t>
            </w:r>
          </w:p>
        </w:tc>
        <w:tc>
          <w:tcPr>
            <w:tcW w:type="dxa" w:w="3213"/>
          </w:tcPr>
          <w:p>
            <w:pPr>
              <w:spacing w:after="0" w:before="0"/>
            </w:pPr>
            <w:r/>
            <w:r>
              <w:rPr>
                <w:b w:val="0"/>
                <w:i w:val="0"/>
                <w:color w:val="1A1A1A"/>
                <w:sz w:val="18"/>
              </w:rPr>
              <w:t>bleibt innerhalb der Kriterien des Ablaufs: Beginn, Allergie, Technik</w:t>
            </w:r>
          </w:p>
        </w:tc>
        <w:tc>
          <w:tcPr>
            <w:tcW w:type="dxa" w:w="3213"/>
          </w:tcPr>
          <w:p>
            <w:pPr>
              <w:spacing w:after="0" w:before="0"/>
            </w:pPr>
            <w:r/>
            <w:r>
              <w:rPr>
                <w:b w:val="0"/>
                <w:i w:val="0"/>
                <w:color w:val="1A1A1A"/>
                <w:sz w:val="18"/>
              </w:rPr>
              <w:t>Bankettleitung; eine Zeile im Blatt</w:t>
            </w:r>
          </w:p>
        </w:tc>
      </w:tr>
      <w:tr>
        <w:trPr>
          <w:cantSplit w:val="true"/>
        </w:trPr>
        <w:tc>
          <w:tcPr>
            <w:tcW w:type="dxa" w:w="3213"/>
            <w:shd w:val="clear" w:color="auto" w:fill="F3EFE6"/>
          </w:tcPr>
          <w:p>
            <w:pPr>
              <w:spacing w:after="0" w:before="0"/>
            </w:pPr>
            <w:r/>
            <w:r>
              <w:rPr>
                <w:b w:val="0"/>
                <w:i w:val="0"/>
                <w:color w:val="1A1A1A"/>
                <w:sz w:val="18"/>
              </w:rPr>
              <w:t>2 berührt ein Ziel</w:t>
            </w:r>
          </w:p>
        </w:tc>
        <w:tc>
          <w:tcPr>
            <w:tcW w:type="dxa" w:w="3213"/>
            <w:shd w:val="clear" w:color="auto" w:fill="F3EFE6"/>
          </w:tcPr>
          <w:p>
            <w:pPr>
              <w:spacing w:after="0" w:before="0"/>
            </w:pPr>
            <w:r/>
            <w:r>
              <w:rPr>
                <w:b w:val="0"/>
                <w:i w:val="0"/>
                <w:color w:val="1A1A1A"/>
                <w:sz w:val="18"/>
              </w:rPr>
              <w:t>Speisereste, Einkauf, Mehrweg, Energie im Saal</w:t>
            </w:r>
          </w:p>
        </w:tc>
        <w:tc>
          <w:tcPr>
            <w:tcW w:type="dxa" w:w="3213"/>
            <w:shd w:val="clear" w:color="auto" w:fill="F3EFE6"/>
          </w:tcPr>
          <w:p>
            <w:pPr>
              <w:spacing w:after="0" w:before="0"/>
            </w:pPr>
            <w:r/>
            <w:r>
              <w:rPr>
                <w:b w:val="0"/>
                <w:i w:val="0"/>
                <w:color w:val="1A1A1A"/>
                <w:sz w:val="18"/>
              </w:rPr>
              <w:t>Veranstaltungsleitung mit Küche und Technik; Entscheidung mit Begründung</w:t>
            </w:r>
          </w:p>
        </w:tc>
      </w:tr>
      <w:tr>
        <w:trPr>
          <w:cantSplit w:val="true"/>
        </w:trPr>
        <w:tc>
          <w:tcPr>
            <w:tcW w:type="dxa" w:w="3213"/>
          </w:tcPr>
          <w:p>
            <w:pPr>
              <w:spacing w:after="0" w:before="0"/>
            </w:pPr>
            <w:r/>
            <w:r>
              <w:rPr>
                <w:b w:val="0"/>
                <w:i w:val="0"/>
                <w:color w:val="1A1A1A"/>
                <w:sz w:val="18"/>
              </w:rPr>
              <w:t>3 berührt Grundsatz, Recht oder Sicherheit</w:t>
            </w:r>
          </w:p>
        </w:tc>
        <w:tc>
          <w:tcPr>
            <w:tcW w:type="dxa" w:w="3213"/>
          </w:tcPr>
          <w:p>
            <w:pPr>
              <w:spacing w:after="0" w:before="0"/>
            </w:pPr>
            <w:r/>
            <w:r>
              <w:rPr>
                <w:b w:val="0"/>
                <w:i w:val="0"/>
                <w:color w:val="1A1A1A"/>
                <w:sz w:val="18"/>
              </w:rPr>
              <w:t>Zugang, Kapazität, Nachtruhe, Hygiene, Personal</w:t>
            </w:r>
          </w:p>
        </w:tc>
        <w:tc>
          <w:tcPr>
            <w:tcW w:type="dxa" w:w="3213"/>
          </w:tcPr>
          <w:p>
            <w:pPr>
              <w:spacing w:after="0" w:before="0"/>
            </w:pPr>
            <w:r/>
            <w:r>
              <w:rPr>
                <w:b w:val="0"/>
                <w:i w:val="0"/>
                <w:color w:val="1A1A1A"/>
                <w:sz w:val="18"/>
              </w:rPr>
              <w:t>Direktion bis zur Frist; Entscheidung, Begründung, Mitteilung an den Kunden</w:t>
            </w:r>
          </w:p>
        </w:tc>
      </w:tr>
    </w:tbl>
    <w:p>
      <w:pPr>
        <w:spacing w:after="40"/>
      </w:pPr>
    </w:p>
    <w:p>
      <w:pPr>
        <w:pStyle w:val="Heading2"/>
      </w:pPr>
      <w:r>
        <w:t>Praktische Anwendung: eine Änderung in sieben Schritten steuern</w:t>
      </w:r>
    </w:p>
    <w:p>
      <w:pPr>
        <w:tabs>
          <w:tab w:pos="340" w:val="left"/>
        </w:tabs>
        <w:ind w:left="340" w:hanging="340"/>
      </w:pPr>
      <w:r>
        <w:rPr>
          <w:b/>
          <w:color w:val="8C5A2B"/>
        </w:rPr>
        <w:t>1.</w:t>
        <w:tab/>
      </w:r>
      <w:r>
        <w:rPr>
          <w:b/>
        </w:rPr>
        <w:t>Annehmen, ohne zuzusagen.</w:t>
      </w:r>
      <w:r>
        <w:t xml:space="preserve"> Wer den Anruf annimmt, schreibt mit und sagt dem Kunden, bis wann er eine Antwort bekommt. Der Satz «das bekommen wir hin» fällt erst nach der Prüfung.</w:t>
      </w:r>
    </w:p>
    <w:p>
      <w:pPr>
        <w:tabs>
          <w:tab w:pos="340" w:val="left"/>
        </w:tabs>
        <w:ind w:left="340" w:hanging="340"/>
      </w:pPr>
      <w:r>
        <w:rPr>
          <w:b/>
          <w:color w:val="8C5A2B"/>
        </w:rPr>
        <w:t>2.</w:t>
        <w:tab/>
      </w:r>
      <w:r>
        <w:rPr>
          <w:b/>
        </w:rPr>
        <w:t>Jede Änderung eintragen.</w:t>
      </w:r>
      <w:r>
        <w:t xml:space="preserve"> Eine Zeile je Änderung, mit Datum, Uhrzeit, Herkunft und dem, was der Kunde eigentlich erreichen will. Der Zweck steht neben dem Wortlaut.</w:t>
      </w:r>
    </w:p>
    <w:p>
      <w:pPr>
        <w:tabs>
          <w:tab w:pos="340" w:val="left"/>
        </w:tabs>
        <w:ind w:left="340" w:hanging="340"/>
      </w:pPr>
      <w:r>
        <w:rPr>
          <w:b/>
          <w:color w:val="8C5A2B"/>
        </w:rPr>
        <w:t>3.</w:t>
        <w:tab/>
      </w:r>
      <w:r>
        <w:rPr>
          <w:b/>
        </w:rPr>
        <w:t>Einstufen.</w:t>
      </w:r>
      <w:r>
        <w:t xml:space="preserve"> Bleibt die Änderung innerhalb der Kriterien des Ablaufs, berührt sie ein Ziel oder einen Grundsatz, das Recht oder die Sicherheit? Daraus folgt, wer entscheidet und bis wann.</w:t>
      </w:r>
    </w:p>
    <w:p>
      <w:pPr>
        <w:tabs>
          <w:tab w:pos="340" w:val="left"/>
        </w:tabs>
        <w:ind w:left="340" w:hanging="340"/>
      </w:pPr>
      <w:r>
        <w:rPr>
          <w:b/>
          <w:color w:val="8C5A2B"/>
        </w:rPr>
        <w:t>4.</w:t>
        <w:tab/>
      </w:r>
      <w:r>
        <w:rPr>
          <w:b/>
        </w:rPr>
        <w:t>Gegen Ziele, Leitbild und Recht prüfen.</w:t>
      </w:r>
      <w:r>
        <w:t xml:space="preserve"> Die Ziele des Jahres und die vier Leitprinzipien stehen auf dem Blatt, nicht nur an der Wand. Jede betroffene Abteilung sagt in einem Satz, was die Änderung für sie bedeutet.</w:t>
      </w:r>
    </w:p>
    <w:p>
      <w:pPr>
        <w:tabs>
          <w:tab w:pos="340" w:val="left"/>
        </w:tabs>
        <w:ind w:left="340" w:hanging="340"/>
      </w:pPr>
      <w:r>
        <w:rPr>
          <w:b/>
          <w:color w:val="8C5A2B"/>
        </w:rPr>
        <w:t>5.</w:t>
        <w:tab/>
      </w:r>
      <w:r>
        <w:rPr>
          <w:b/>
        </w:rPr>
        <w:t>Zwischen Möglichkeiten entscheiden.</w:t>
      </w:r>
      <w:r>
        <w:t xml:space="preserve"> Mindestens zwei Lösungen, die den Zweck des Kunden erfüllen. Gewählt wird die beste, die sich bis zum Termin umsetzen lässt, mit einer Begründung in einem Satz.</w:t>
      </w:r>
    </w:p>
    <w:p>
      <w:pPr>
        <w:tabs>
          <w:tab w:pos="340" w:val="left"/>
        </w:tabs>
        <w:ind w:left="340" w:hanging="340"/>
      </w:pPr>
      <w:r>
        <w:rPr>
          <w:b/>
          <w:color w:val="8C5A2B"/>
        </w:rPr>
        <w:t>6.</w:t>
        <w:tab/>
      </w:r>
      <w:r>
        <w:rPr>
          <w:b/>
        </w:rPr>
        <w:t>Allen dasselbe Blatt geben.</w:t>
      </w:r>
      <w:r>
        <w:t xml:space="preserve"> Küche, Service, Spülküche, Technik, Rezeption und Personalbüro bekommen die Entscheidung am selben Tag. Der Kunde bekommt sie schriftlich, mit dem, was geht, und dem, was nicht geht.</w:t>
      </w:r>
    </w:p>
    <w:p>
      <w:pPr>
        <w:tabs>
          <w:tab w:pos="340" w:val="left"/>
        </w:tabs>
        <w:ind w:left="340" w:hanging="340"/>
      </w:pPr>
      <w:r>
        <w:rPr>
          <w:b/>
          <w:color w:val="8C5A2B"/>
        </w:rPr>
        <w:t>7.</w:t>
        <w:tab/>
      </w:r>
      <w:r>
        <w:rPr>
          <w:b/>
        </w:rPr>
        <w:t>Nachprüfen und die Lehre weitergeben.</w:t>
      </w:r>
      <w:r>
        <w:t xml:space="preserve"> Nach der Veranstaltung: Wurde umgesetzt, was entschieden war, und hat es gewirkt? Die Lehre kommt in die Liste für die Managementbewertung.</w:t>
      </w:r>
    </w:p>
    <w:p>
      <w:pPr>
        <w:keepNext/>
        <w:spacing w:after="40"/>
      </w:pPr>
      <w:r>
        <w:rPr>
          <w:b/>
          <w:i w:val="0"/>
          <w:color w:val="8C5A2B"/>
          <w:sz w:val="18"/>
        </w:rPr>
        <w:t>Umsetzung im eigenen Haus</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4649"/>
        <w:gridCol w:w="2041"/>
        <w:gridCol w:w="1474"/>
        <w:gridCol w:w="1474"/>
      </w:tblGrid>
      <w:tr>
        <w:trPr>
          <w:cantSplit w:val="true"/>
          <w:tblHeader w:val="true"/>
        </w:trPr>
        <w:tc>
          <w:tcPr>
            <w:tcW w:type="dxa" w:w="4649"/>
            <w:shd w:val="clear" w:color="auto" w:fill="8C5A2B"/>
          </w:tcPr>
          <w:p>
            <w:pPr>
              <w:spacing w:after="0" w:before="0"/>
            </w:pPr>
            <w:r/>
            <w:r>
              <w:rPr>
                <w:b/>
                <w:i w:val="0"/>
                <w:color w:val="FFFFFF"/>
                <w:sz w:val="17"/>
              </w:rPr>
              <w:t>Schritt</w:t>
            </w:r>
          </w:p>
        </w:tc>
        <w:tc>
          <w:tcPr>
            <w:tcW w:type="dxa" w:w="2041"/>
            <w:shd w:val="clear" w:color="auto" w:fill="8C5A2B"/>
          </w:tcPr>
          <w:p>
            <w:pPr>
              <w:spacing w:after="0" w:before="0"/>
            </w:pPr>
            <w:r/>
            <w:r>
              <w:rPr>
                <w:b/>
                <w:i w:val="0"/>
                <w:color w:val="FFFFFF"/>
                <w:sz w:val="17"/>
              </w:rPr>
              <w:t>Verantwortlich</w:t>
            </w:r>
          </w:p>
        </w:tc>
        <w:tc>
          <w:tcPr>
            <w:tcW w:type="dxa" w:w="1474"/>
            <w:shd w:val="clear" w:color="auto" w:fill="8C5A2B"/>
          </w:tcPr>
          <w:p>
            <w:pPr>
              <w:spacing w:after="0" w:before="0"/>
            </w:pPr>
            <w:r/>
            <w:r>
              <w:rPr>
                <w:b/>
                <w:i w:val="0"/>
                <w:color w:val="FFFFFF"/>
                <w:sz w:val="17"/>
              </w:rPr>
              <w:t>Termin</w:t>
            </w:r>
          </w:p>
        </w:tc>
        <w:tc>
          <w:tcPr>
            <w:tcW w:type="dxa" w:w="1474"/>
            <w:shd w:val="clear" w:color="auto" w:fill="8C5A2B"/>
          </w:tcPr>
          <w:p>
            <w:pPr>
              <w:spacing w:after="0" w:before="0"/>
            </w:pPr>
            <w:r/>
            <w:r>
              <w:rPr>
                <w:b/>
                <w:i w:val="0"/>
                <w:color w:val="FFFFFF"/>
                <w:sz w:val="17"/>
              </w:rPr>
              <w:t>Erledigt</w:t>
            </w:r>
          </w:p>
        </w:tc>
      </w:tr>
      <w:tr>
        <w:trPr>
          <w:cantSplit w:val="true"/>
        </w:trPr>
        <w:tc>
          <w:tcPr>
            <w:tcW w:type="dxa" w:w="4649"/>
          </w:tcPr>
          <w:p>
            <w:pPr>
              <w:spacing w:after="0" w:before="0"/>
            </w:pPr>
            <w:r/>
            <w:r>
              <w:rPr>
                <w:b w:val="0"/>
                <w:i w:val="0"/>
                <w:color w:val="1A1A1A"/>
                <w:sz w:val="17"/>
              </w:rPr>
              <w:t>1. Annehmen, ohne zuzusagen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2. Jede Änderung eintragen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3. Einstufen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4. Gegen Ziele, Leitbild und Recht prüfen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5. Zwischen Möglichkeiten entscheiden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r>
        <w:trPr>
          <w:cantSplit w:val="true"/>
        </w:trPr>
        <w:tc>
          <w:tcPr>
            <w:tcW w:type="dxa" w:w="4649"/>
            <w:shd w:val="clear" w:color="auto" w:fill="F3EFE6"/>
          </w:tcPr>
          <w:p>
            <w:pPr>
              <w:spacing w:after="0" w:before="0"/>
            </w:pPr>
            <w:r/>
            <w:r>
              <w:rPr>
                <w:b w:val="0"/>
                <w:i w:val="0"/>
                <w:color w:val="1A1A1A"/>
                <w:sz w:val="17"/>
              </w:rPr>
              <w:t>6. Allen dasselbe Blatt geben</w:t>
            </w:r>
          </w:p>
        </w:tc>
        <w:tc>
          <w:tcPr>
            <w:tcW w:type="dxa" w:w="2041"/>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c>
          <w:tcPr>
            <w:tcW w:type="dxa" w:w="1474"/>
            <w:shd w:val="clear" w:color="auto" w:fill="F3EFE6"/>
          </w:tcPr>
          <w:p>
            <w:pPr>
              <w:spacing w:after="0" w:before="0"/>
            </w:pPr>
            <w:r/>
            <w:r>
              <w:rPr>
                <w:b w:val="0"/>
                <w:i w:val="0"/>
                <w:color w:val="1A1A1A"/>
                <w:sz w:val="17"/>
              </w:rPr>
            </w:r>
          </w:p>
        </w:tc>
      </w:tr>
      <w:tr>
        <w:trPr>
          <w:cantSplit w:val="true"/>
        </w:trPr>
        <w:tc>
          <w:tcPr>
            <w:tcW w:type="dxa" w:w="4649"/>
          </w:tcPr>
          <w:p>
            <w:pPr>
              <w:spacing w:after="0" w:before="0"/>
            </w:pPr>
            <w:r/>
            <w:r>
              <w:rPr>
                <w:b w:val="0"/>
                <w:i w:val="0"/>
                <w:color w:val="1A1A1A"/>
                <w:sz w:val="17"/>
              </w:rPr>
              <w:t>7. Nachprüfen und die Lehre weitergeben</w:t>
            </w:r>
          </w:p>
        </w:tc>
        <w:tc>
          <w:tcPr>
            <w:tcW w:type="dxa" w:w="2041"/>
          </w:tcPr>
          <w:p>
            <w:pPr>
              <w:spacing w:after="0" w:before="0"/>
            </w:pPr>
            <w:r/>
            <w:r>
              <w:rPr>
                <w:b w:val="0"/>
                <w:i w:val="0"/>
                <w:color w:val="1A1A1A"/>
                <w:sz w:val="17"/>
              </w:rPr>
            </w:r>
          </w:p>
        </w:tc>
        <w:tc>
          <w:tcPr>
            <w:tcW w:type="dxa" w:w="1474"/>
          </w:tcPr>
          <w:p>
            <w:pPr>
              <w:spacing w:after="0" w:before="0"/>
            </w:pPr>
            <w:r/>
            <w:r>
              <w:rPr>
                <w:b w:val="0"/>
                <w:i w:val="0"/>
                <w:color w:val="1A1A1A"/>
                <w:sz w:val="17"/>
              </w:rPr>
            </w:r>
          </w:p>
        </w:tc>
        <w:tc>
          <w:tcPr>
            <w:tcW w:type="dxa" w:w="1474"/>
          </w:tcPr>
          <w:p>
            <w:pPr>
              <w:spacing w:after="0" w:before="0"/>
            </w:pPr>
            <w:r/>
            <w:r>
              <w:rPr>
                <w:b w:val="0"/>
                <w:i w:val="0"/>
                <w:color w:val="1A1A1A"/>
                <w:sz w:val="17"/>
              </w:rPr>
            </w:r>
          </w:p>
        </w:tc>
      </w:tr>
    </w:tbl>
    <w:p>
      <w:pPr>
        <w:spacing w:after="40"/>
      </w:pPr>
    </w:p>
    <w:p>
      <w:pPr>
        <w:pStyle w:val="Heading2"/>
      </w:pPr>
      <w:r>
        <w:t>Prüf-Checkliste</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5216"/>
        <w:gridCol w:w="680"/>
        <w:gridCol w:w="680"/>
        <w:gridCol w:w="3061"/>
      </w:tblGrid>
      <w:tr>
        <w:trPr>
          <w:cantSplit w:val="true"/>
          <w:tblHeader w:val="true"/>
        </w:trPr>
        <w:tc>
          <w:tcPr>
            <w:tcW w:type="dxa" w:w="5216"/>
            <w:shd w:val="clear" w:color="auto" w:fill="8C5A2B"/>
          </w:tcPr>
          <w:p>
            <w:pPr>
              <w:spacing w:after="0" w:before="0"/>
            </w:pPr>
            <w:r/>
            <w:r>
              <w:rPr>
                <w:b/>
                <w:i w:val="0"/>
                <w:color w:val="FFFFFF"/>
                <w:sz w:val="18"/>
              </w:rPr>
              <w:t>Frage</w:t>
            </w:r>
          </w:p>
        </w:tc>
        <w:tc>
          <w:tcPr>
            <w:tcW w:type="dxa" w:w="680"/>
            <w:shd w:val="clear" w:color="auto" w:fill="8C5A2B"/>
          </w:tcPr>
          <w:p>
            <w:pPr>
              <w:spacing w:after="0" w:before="0"/>
            </w:pPr>
            <w:r/>
            <w:r>
              <w:rPr>
                <w:b/>
                <w:i w:val="0"/>
                <w:color w:val="FFFFFF"/>
                <w:sz w:val="18"/>
              </w:rPr>
              <w:t>Ja</w:t>
            </w:r>
          </w:p>
        </w:tc>
        <w:tc>
          <w:tcPr>
            <w:tcW w:type="dxa" w:w="680"/>
            <w:shd w:val="clear" w:color="auto" w:fill="8C5A2B"/>
          </w:tcPr>
          <w:p>
            <w:pPr>
              <w:spacing w:after="0" w:before="0"/>
            </w:pPr>
            <w:r/>
            <w:r>
              <w:rPr>
                <w:b/>
                <w:i w:val="0"/>
                <w:color w:val="FFFFFF"/>
                <w:sz w:val="18"/>
              </w:rPr>
              <w:t>Nein</w:t>
            </w:r>
          </w:p>
        </w:tc>
        <w:tc>
          <w:tcPr>
            <w:tcW w:type="dxa" w:w="3061"/>
            <w:shd w:val="clear" w:color="auto" w:fill="8C5A2B"/>
          </w:tcPr>
          <w:p>
            <w:pPr>
              <w:spacing w:after="0" w:before="0"/>
            </w:pPr>
            <w:r/>
            <w:r>
              <w:rPr>
                <w:b/>
                <w:i w:val="0"/>
                <w:color w:val="FFFFFF"/>
                <w:sz w:val="18"/>
              </w:rPr>
              <w:t>Nachweis / Bemerkung</w:t>
            </w:r>
          </w:p>
        </w:tc>
      </w:tr>
      <w:tr>
        <w:trPr>
          <w:cantSplit w:val="true"/>
        </w:trPr>
        <w:tc>
          <w:tcPr>
            <w:tcW w:type="dxa" w:w="5216"/>
          </w:tcPr>
          <w:p>
            <w:pPr>
              <w:spacing w:after="0" w:before="0"/>
            </w:pPr>
            <w:r/>
            <w:r>
              <w:rPr>
                <w:b w:val="0"/>
                <w:i w:val="0"/>
                <w:color w:val="1A1A1A"/>
                <w:sz w:val="18"/>
              </w:rPr>
              <w:t>Wird jede Änderung an einer gebuchten Veranstaltung eingetragen, bevor sie zugesagt wird?</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Ist festgelegt, wer über welche Art von Änderung entscheidet und bis wann?</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Stehen die Ziele des Jahres und die Leitprinzipien auf dem Blatt, mit dem geprüft wird?</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Fragen wir nach dem Zweck eines Wunsches, nicht nur nach seinem Wortlaut?</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Hat jede Entscheidung über eine größere Änderung eine schriftliche Begründung?</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Erfahren alle betroffenen Abteilungen die Entscheidung am selben Tag?</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r>
        <w:trPr>
          <w:cantSplit w:val="true"/>
        </w:trPr>
        <w:tc>
          <w:tcPr>
            <w:tcW w:type="dxa" w:w="5216"/>
          </w:tcPr>
          <w:p>
            <w:pPr>
              <w:spacing w:after="0" w:before="0"/>
            </w:pPr>
            <w:r/>
            <w:r>
              <w:rPr>
                <w:b w:val="0"/>
                <w:i w:val="0"/>
                <w:color w:val="1A1A1A"/>
                <w:sz w:val="18"/>
              </w:rPr>
              <w:t>Prüfen wir nach der Veranstaltung, ob die Entscheidung gewirkt hat?</w:t>
            </w:r>
          </w:p>
        </w:tc>
        <w:tc>
          <w:tcPr>
            <w:tcW w:type="dxa" w:w="680"/>
          </w:tcPr>
          <w:p>
            <w:pPr>
              <w:spacing w:after="0" w:before="0"/>
            </w:pPr>
            <w:r/>
            <w:r>
              <w:rPr>
                <w:b w:val="0"/>
                <w:i w:val="0"/>
                <w:color w:val="1A1A1A"/>
                <w:sz w:val="18"/>
              </w:rPr>
            </w:r>
          </w:p>
        </w:tc>
        <w:tc>
          <w:tcPr>
            <w:tcW w:type="dxa" w:w="680"/>
          </w:tcPr>
          <w:p>
            <w:pPr>
              <w:spacing w:after="0" w:before="0"/>
            </w:pPr>
            <w:r/>
            <w:r>
              <w:rPr>
                <w:b w:val="0"/>
                <w:i w:val="0"/>
                <w:color w:val="1A1A1A"/>
                <w:sz w:val="18"/>
              </w:rPr>
            </w:r>
          </w:p>
        </w:tc>
        <w:tc>
          <w:tcPr>
            <w:tcW w:type="dxa" w:w="3061"/>
          </w:tcPr>
          <w:p>
            <w:pPr>
              <w:spacing w:after="0" w:before="0"/>
            </w:pPr>
            <w:r/>
            <w:r>
              <w:rPr>
                <w:b w:val="0"/>
                <w:i w:val="0"/>
                <w:color w:val="1A1A1A"/>
                <w:sz w:val="18"/>
              </w:rPr>
            </w:r>
          </w:p>
        </w:tc>
      </w:tr>
      <w:tr>
        <w:trPr>
          <w:cantSplit w:val="true"/>
        </w:trPr>
        <w:tc>
          <w:tcPr>
            <w:tcW w:type="dxa" w:w="5216"/>
            <w:shd w:val="clear" w:color="auto" w:fill="F3EFE6"/>
          </w:tcPr>
          <w:p>
            <w:pPr>
              <w:spacing w:after="0" w:before="0"/>
            </w:pPr>
            <w:r/>
            <w:r>
              <w:rPr>
                <w:b w:val="0"/>
                <w:i w:val="0"/>
                <w:color w:val="1A1A1A"/>
                <w:sz w:val="18"/>
              </w:rPr>
              <w:t>Geht die Liste der Änderungen und Lehren an die Managementbewertung?</w:t>
            </w:r>
          </w:p>
        </w:tc>
        <w:tc>
          <w:tcPr>
            <w:tcW w:type="dxa" w:w="680"/>
            <w:shd w:val="clear" w:color="auto" w:fill="F3EFE6"/>
          </w:tcPr>
          <w:p>
            <w:pPr>
              <w:spacing w:after="0" w:before="0"/>
            </w:pPr>
            <w:r/>
            <w:r>
              <w:rPr>
                <w:b w:val="0"/>
                <w:i w:val="0"/>
                <w:color w:val="1A1A1A"/>
                <w:sz w:val="18"/>
              </w:rPr>
            </w:r>
          </w:p>
        </w:tc>
        <w:tc>
          <w:tcPr>
            <w:tcW w:type="dxa" w:w="680"/>
            <w:shd w:val="clear" w:color="auto" w:fill="F3EFE6"/>
          </w:tcPr>
          <w:p>
            <w:pPr>
              <w:spacing w:after="0" w:before="0"/>
            </w:pPr>
            <w:r/>
            <w:r>
              <w:rPr>
                <w:b w:val="0"/>
                <w:i w:val="0"/>
                <w:color w:val="1A1A1A"/>
                <w:sz w:val="18"/>
              </w:rPr>
            </w:r>
          </w:p>
        </w:tc>
        <w:tc>
          <w:tcPr>
            <w:tcW w:type="dxa" w:w="3061"/>
            <w:shd w:val="clear" w:color="auto" w:fill="F3EFE6"/>
          </w:tcPr>
          <w:p>
            <w:pPr>
              <w:spacing w:after="0" w:before="0"/>
            </w:pPr>
            <w:r/>
            <w:r>
              <w:rPr>
                <w:b w:val="0"/>
                <w:i w:val="0"/>
                <w:color w:val="1A1A1A"/>
                <w:sz w:val="18"/>
              </w:rPr>
            </w:r>
          </w:p>
        </w:tc>
      </w:tr>
    </w:tbl>
    <w:p>
      <w:pPr>
        <w:spacing w:after="40"/>
      </w:pPr>
    </w:p>
    <w:p>
      <w:pPr>
        <w:pStyle w:val="Heading2"/>
      </w:pPr>
      <w:r>
        <w:t>Häufige Fehler</w:t>
      </w:r>
    </w:p>
    <w:p>
      <w:pPr>
        <w:tabs>
          <w:tab w:pos="340" w:val="left"/>
        </w:tabs>
        <w:ind w:left="340" w:hanging="340"/>
      </w:pPr>
      <w:r>
        <w:rPr>
          <w:color w:val="8C5A2B"/>
        </w:rPr>
        <w:t>–</w:t>
        <w:tab/>
      </w:r>
      <w:r>
        <w:rPr>
          <w:b/>
        </w:rPr>
        <w:t>Am Telefon zusagen.</w:t>
      </w:r>
      <w:r>
        <w:t xml:space="preserve"> Jede spätere Einschränkung klingt dann wie ein Rückzieher.</w:t>
      </w:r>
    </w:p>
    <w:p>
      <w:pPr>
        <w:tabs>
          <w:tab w:pos="340" w:val="left"/>
        </w:tabs>
        <w:ind w:left="340" w:hanging="340"/>
      </w:pPr>
      <w:r>
        <w:rPr>
          <w:color w:val="8C5A2B"/>
        </w:rPr>
        <w:t>–</w:t>
        <w:tab/>
      </w:r>
      <w:r>
        <w:rPr>
          <w:b/>
        </w:rPr>
        <w:t>Die Änderung nur in die Rechnung buchen.</w:t>
      </w:r>
      <w:r>
        <w:t xml:space="preserve"> Der Preis stimmt, und Küche, Spülküche und Personal planen für den alten Abend.</w:t>
      </w:r>
    </w:p>
    <w:p>
      <w:pPr>
        <w:tabs>
          <w:tab w:pos="340" w:val="left"/>
        </w:tabs>
        <w:ind w:left="340" w:hanging="340"/>
      </w:pPr>
      <w:r>
        <w:rPr>
          <w:color w:val="8C5A2B"/>
        </w:rPr>
        <w:t>–</w:t>
        <w:tab/>
      </w:r>
      <w:r>
        <w:rPr>
          <w:b/>
        </w:rPr>
        <w:t>Jede Kleinigkeit zur Direktion tragen.</w:t>
      </w:r>
      <w:r>
        <w:t xml:space="preserve"> Nach drei Wochen wird das Verfahren umgangen.</w:t>
      </w:r>
    </w:p>
    <w:p>
      <w:pPr>
        <w:tabs>
          <w:tab w:pos="340" w:val="left"/>
        </w:tabs>
        <w:ind w:left="340" w:hanging="340"/>
      </w:pPr>
      <w:r>
        <w:rPr>
          <w:color w:val="8C5A2B"/>
        </w:rPr>
        <w:t>–</w:t>
        <w:tab/>
      </w:r>
      <w:r>
        <w:rPr>
          <w:b/>
        </w:rPr>
        <w:t>Den Wunsch im Wortlaut ausführen.</w:t>
      </w:r>
      <w:r>
        <w:t xml:space="preserve"> Wer den Zweck nicht kennt, hat nur eine Lösung, und oft die schlechtere.</w:t>
      </w:r>
    </w:p>
    <w:p>
      <w:pPr>
        <w:tabs>
          <w:tab w:pos="340" w:val="left"/>
        </w:tabs>
        <w:ind w:left="340" w:hanging="340"/>
      </w:pPr>
      <w:r>
        <w:rPr>
          <w:color w:val="8C5A2B"/>
        </w:rPr>
        <w:t>–</w:t>
        <w:tab/>
      </w:r>
      <w:r>
        <w:rPr>
          <w:b/>
        </w:rPr>
        <w:t>Die Ziele an der Wand lassen.</w:t>
      </w:r>
      <w:r>
        <w:t xml:space="preserve"> Was nicht auf dem Blatt steht, wird bei der Entscheidung nicht gefragt.</w:t>
      </w:r>
    </w:p>
    <w:p>
      <w:pPr>
        <w:tabs>
          <w:tab w:pos="340" w:val="left"/>
        </w:tabs>
        <w:ind w:left="340" w:hanging="340"/>
      </w:pPr>
      <w:r>
        <w:rPr>
          <w:color w:val="8C5A2B"/>
        </w:rPr>
        <w:t>–</w:t>
        <w:tab/>
      </w:r>
      <w:r>
        <w:rPr>
          <w:b/>
        </w:rPr>
        <w:t>Die Entscheidung nicht nachprüfen.</w:t>
      </w:r>
      <w:r>
        <w:t xml:space="preserve"> Dann wiederholt sich dieselbe Änderung jede Saison mit denselben Folgen.</w:t>
      </w:r>
    </w:p>
    <w:p>
      <w:pPr>
        <w:pStyle w:val="Heading2"/>
      </w:pPr>
      <w:r>
        <w:t>Modellrechnung</w:t>
      </w:r>
    </w:p>
    <w:p>
      <w:r>
        <w:rPr>
          <w:b w:val="0"/>
          <w:i/>
          <w:color w:val="5A5A5A"/>
          <w:sz w:val="18"/>
        </w:rPr>
        <w:t>Modellannahme, kein belegter Branchenwert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175"/>
        <w:gridCol w:w="1474"/>
        <w:gridCol w:w="3175"/>
        <w:gridCol w:w="1814"/>
      </w:tblGrid>
      <w:tr>
        <w:trPr>
          <w:cantSplit w:val="true"/>
          <w:tblHeader w:val="true"/>
        </w:trPr>
        <w:tc>
          <w:tcPr>
            <w:tcW w:type="dxa" w:w="3175"/>
            <w:shd w:val="clear" w:color="auto" w:fill="8C5A2B"/>
          </w:tcPr>
          <w:p>
            <w:pPr>
              <w:spacing w:after="0" w:before="0"/>
            </w:pPr>
            <w:r/>
            <w:r>
              <w:rPr>
                <w:b/>
                <w:i w:val="0"/>
                <w:color w:val="FFFFFF"/>
                <w:sz w:val="18"/>
              </w:rPr>
              <w:t>Posten</w:t>
            </w:r>
          </w:p>
        </w:tc>
        <w:tc>
          <w:tcPr>
            <w:tcW w:type="dxa" w:w="1474"/>
            <w:shd w:val="clear" w:color="auto" w:fill="8C5A2B"/>
          </w:tcPr>
          <w:p>
            <w:pPr>
              <w:spacing w:after="0" w:before="0"/>
            </w:pPr>
            <w:r/>
            <w:r>
              <w:rPr>
                <w:b/>
                <w:i w:val="0"/>
                <w:color w:val="FFFFFF"/>
                <w:sz w:val="18"/>
              </w:rPr>
              <w:t>Betrag</w:t>
            </w:r>
          </w:p>
        </w:tc>
        <w:tc>
          <w:tcPr>
            <w:tcW w:type="dxa" w:w="3175"/>
            <w:shd w:val="clear" w:color="auto" w:fill="8C5A2B"/>
          </w:tcPr>
          <w:p>
            <w:pPr>
              <w:spacing w:after="0" w:before="0"/>
            </w:pPr>
            <w:r/>
            <w:r>
              <w:rPr>
                <w:b/>
                <w:i w:val="0"/>
                <w:color w:val="FFFFFF"/>
                <w:sz w:val="18"/>
              </w:rPr>
              <w:t>Anmerkung</w:t>
            </w:r>
          </w:p>
        </w:tc>
        <w:tc>
          <w:tcPr>
            <w:tcW w:type="dxa" w:w="1814"/>
            <w:shd w:val="clear" w:color="auto" w:fill="8C5A2B"/>
          </w:tcPr>
          <w:p>
            <w:pPr>
              <w:spacing w:after="0" w:before="0"/>
            </w:pPr>
            <w:r/>
            <w:r>
              <w:rPr>
                <w:b/>
                <w:i w:val="0"/>
                <w:color w:val="FFFFFF"/>
                <w:sz w:val="18"/>
              </w:rPr>
              <w:t>Eigener Wert</w:t>
            </w:r>
          </w:p>
        </w:tc>
      </w:tr>
      <w:tr>
        <w:trPr>
          <w:cantSplit w:val="true"/>
        </w:trPr>
        <w:tc>
          <w:tcPr>
            <w:tcW w:type="dxa" w:w="3175"/>
          </w:tcPr>
          <w:p>
            <w:pPr>
              <w:spacing w:after="0" w:before="0"/>
            </w:pPr>
            <w:r/>
            <w:r>
              <w:rPr>
                <w:b w:val="0"/>
                <w:i w:val="0"/>
                <w:color w:val="1A1A1A"/>
                <w:sz w:val="18"/>
              </w:rPr>
              <w:t>Sommerabend wie gebucht: 85 Gäste × € 98</w:t>
            </w:r>
          </w:p>
        </w:tc>
        <w:tc>
          <w:tcPr>
            <w:tcW w:type="dxa" w:w="1474"/>
          </w:tcPr>
          <w:p>
            <w:pPr>
              <w:spacing w:after="0" w:before="0"/>
            </w:pPr>
            <w:r/>
            <w:r>
              <w:rPr>
                <w:b w:val="0"/>
                <w:i w:val="0"/>
                <w:color w:val="1A1A1A"/>
                <w:sz w:val="18"/>
              </w:rPr>
              <w:t>€ 8.330</w:t>
            </w:r>
          </w:p>
        </w:tc>
        <w:tc>
          <w:tcPr>
            <w:tcW w:type="dxa" w:w="3175"/>
          </w:tcPr>
          <w:p>
            <w:pPr>
              <w:spacing w:after="0" w:before="0"/>
            </w:pPr>
            <w:r/>
            <w:r>
              <w:rPr>
                <w:b w:val="0"/>
                <w:i w:val="0"/>
                <w:color w:val="1A1A1A"/>
                <w:sz w:val="18"/>
              </w:rPr>
              <w:t>Aperitif, drei Gänge, Getränkepauschale</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Sommerabend nach der Änderung: 170 Gäste × € 98</w:t>
            </w:r>
          </w:p>
        </w:tc>
        <w:tc>
          <w:tcPr>
            <w:tcW w:type="dxa" w:w="1474"/>
            <w:shd w:val="clear" w:color="auto" w:fill="F3EFE6"/>
          </w:tcPr>
          <w:p>
            <w:pPr>
              <w:spacing w:after="0" w:before="0"/>
            </w:pPr>
            <w:r/>
            <w:r>
              <w:rPr>
                <w:b w:val="0"/>
                <w:i w:val="0"/>
                <w:color w:val="1A1A1A"/>
                <w:sz w:val="18"/>
              </w:rPr>
              <w:t>€ 16.660</w:t>
            </w:r>
          </w:p>
        </w:tc>
        <w:tc>
          <w:tcPr>
            <w:tcW w:type="dxa" w:w="3175"/>
            <w:shd w:val="clear" w:color="auto" w:fill="F3EFE6"/>
          </w:tcPr>
          <w:p>
            <w:pPr>
              <w:spacing w:after="0" w:before="0"/>
            </w:pPr>
            <w:r/>
            <w:r>
              <w:rPr>
                <w:b w:val="0"/>
                <w:i w:val="0"/>
                <w:color w:val="1A1A1A"/>
                <w:sz w:val="18"/>
              </w:rPr>
              <w:t>zuzüglich Grillstation</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Grillstation auf der oberen Terrasse: 170 × € 14</w:t>
            </w:r>
          </w:p>
        </w:tc>
        <w:tc>
          <w:tcPr>
            <w:tcW w:type="dxa" w:w="1474"/>
          </w:tcPr>
          <w:p>
            <w:pPr>
              <w:spacing w:after="0" w:before="0"/>
            </w:pPr>
            <w:r/>
            <w:r>
              <w:rPr>
                <w:b w:val="0"/>
                <w:i w:val="0"/>
                <w:color w:val="1A1A1A"/>
                <w:sz w:val="18"/>
              </w:rPr>
              <w:t>€ 2.380</w:t>
            </w:r>
          </w:p>
        </w:tc>
        <w:tc>
          <w:tcPr>
            <w:tcW w:type="dxa" w:w="3175"/>
          </w:tcPr>
          <w:p>
            <w:pPr>
              <w:spacing w:after="0" w:before="0"/>
            </w:pPr>
            <w:r/>
            <w:r>
              <w:rPr>
                <w:b w:val="0"/>
                <w:i w:val="0"/>
                <w:color w:val="1A1A1A"/>
                <w:sz w:val="18"/>
              </w:rPr>
              <w:t>Aufpreis an den Kunden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Änderungsblatt entwerfen und einführen</w:t>
            </w:r>
          </w:p>
        </w:tc>
        <w:tc>
          <w:tcPr>
            <w:tcW w:type="dxa" w:w="1474"/>
            <w:shd w:val="clear" w:color="auto" w:fill="F3EFE6"/>
          </w:tcPr>
          <w:p>
            <w:pPr>
              <w:spacing w:after="0" w:before="0"/>
            </w:pPr>
            <w:r/>
            <w:r>
              <w:rPr>
                <w:b w:val="0"/>
                <w:i w:val="0"/>
                <w:color w:val="1A1A1A"/>
                <w:sz w:val="18"/>
              </w:rPr>
              <w:t>10 Stunden</w:t>
            </w:r>
          </w:p>
        </w:tc>
        <w:tc>
          <w:tcPr>
            <w:tcW w:type="dxa" w:w="3175"/>
            <w:shd w:val="clear" w:color="auto" w:fill="F3EFE6"/>
          </w:tcPr>
          <w:p>
            <w:pPr>
              <w:spacing w:after="0" w:before="0"/>
            </w:pPr>
            <w:r/>
            <w:r>
              <w:rPr>
                <w:b w:val="0"/>
                <w:i w:val="0"/>
                <w:color w:val="1A1A1A"/>
                <w:sz w:val="18"/>
              </w:rPr>
              <w:t>einmalig, Direktor und Veranstaltungsleitung</w:t>
            </w:r>
          </w:p>
        </w:tc>
        <w:tc>
          <w:tcPr>
            <w:tcW w:type="dxa" w:w="1814"/>
            <w:shd w:val="clear" w:color="auto" w:fill="F3EFE6"/>
          </w:tcPr>
          <w:p>
            <w:pPr>
              <w:spacing w:after="0" w:before="0"/>
            </w:pPr>
            <w:r/>
            <w:r>
              <w:rPr>
                <w:b w:val="0"/>
                <w:i w:val="0"/>
                <w:color w:val="1A1A1A"/>
                <w:sz w:val="18"/>
              </w:rPr>
            </w:r>
          </w:p>
        </w:tc>
      </w:tr>
      <w:tr>
        <w:trPr>
          <w:cantSplit w:val="true"/>
        </w:trPr>
        <w:tc>
          <w:tcPr>
            <w:tcW w:type="dxa" w:w="3175"/>
          </w:tcPr>
          <w:p>
            <w:pPr>
              <w:spacing w:after="0" w:before="0"/>
            </w:pPr>
            <w:r/>
            <w:r>
              <w:rPr>
                <w:b w:val="0"/>
                <w:i w:val="0"/>
                <w:color w:val="1A1A1A"/>
                <w:sz w:val="18"/>
              </w:rPr>
              <w:t>Prüfung einer Saison: 15 × 5 Min., 17 × 30 Min., 9 × 60 Min.</w:t>
            </w:r>
          </w:p>
        </w:tc>
        <w:tc>
          <w:tcPr>
            <w:tcW w:type="dxa" w:w="1474"/>
          </w:tcPr>
          <w:p>
            <w:pPr>
              <w:spacing w:after="0" w:before="0"/>
            </w:pPr>
            <w:r/>
            <w:r>
              <w:rPr>
                <w:b w:val="0"/>
                <w:i w:val="0"/>
                <w:color w:val="1A1A1A"/>
                <w:sz w:val="18"/>
              </w:rPr>
              <w:t>rund 19 Stunden</w:t>
            </w:r>
          </w:p>
        </w:tc>
        <w:tc>
          <w:tcPr>
            <w:tcW w:type="dxa" w:w="3175"/>
          </w:tcPr>
          <w:p>
            <w:pPr>
              <w:spacing w:after="0" w:before="0"/>
            </w:pPr>
            <w:r/>
            <w:r>
              <w:rPr>
                <w:b w:val="0"/>
                <w:i w:val="0"/>
                <w:color w:val="1A1A1A"/>
                <w:sz w:val="18"/>
              </w:rPr>
              <w:t>41 Änderungen nach den drei Stufen</w:t>
            </w:r>
          </w:p>
        </w:tc>
        <w:tc>
          <w:tcPr>
            <w:tcW w:type="dxa" w:w="1814"/>
          </w:tcPr>
          <w:p>
            <w:pPr>
              <w:spacing w:after="0" w:before="0"/>
            </w:pPr>
            <w:r/>
            <w:r>
              <w:rPr>
                <w:b w:val="0"/>
                <w:i w:val="0"/>
                <w:color w:val="1A1A1A"/>
                <w:sz w:val="18"/>
              </w:rPr>
            </w:r>
          </w:p>
        </w:tc>
      </w:tr>
      <w:tr>
        <w:trPr>
          <w:cantSplit w:val="true"/>
        </w:trPr>
        <w:tc>
          <w:tcPr>
            <w:tcW w:type="dxa" w:w="3175"/>
            <w:shd w:val="clear" w:color="auto" w:fill="F3EFE6"/>
          </w:tcPr>
          <w:p>
            <w:pPr>
              <w:spacing w:after="0" w:before="0"/>
            </w:pPr>
            <w:r/>
            <w:r>
              <w:rPr>
                <w:b w:val="0"/>
                <w:i w:val="0"/>
                <w:color w:val="1A1A1A"/>
                <w:sz w:val="18"/>
              </w:rPr>
              <w:t>Speisereste am Freitag: 170 × 182 g</w:t>
            </w:r>
          </w:p>
        </w:tc>
        <w:tc>
          <w:tcPr>
            <w:tcW w:type="dxa" w:w="1474"/>
            <w:shd w:val="clear" w:color="auto" w:fill="F3EFE6"/>
          </w:tcPr>
          <w:p>
            <w:pPr>
              <w:spacing w:after="0" w:before="0"/>
            </w:pPr>
            <w:r/>
            <w:r>
              <w:rPr>
                <w:b w:val="0"/>
                <w:i w:val="0"/>
                <w:color w:val="1A1A1A"/>
                <w:sz w:val="18"/>
              </w:rPr>
              <w:t>31 kg</w:t>
            </w:r>
          </w:p>
        </w:tc>
        <w:tc>
          <w:tcPr>
            <w:tcW w:type="dxa" w:w="3175"/>
            <w:shd w:val="clear" w:color="auto" w:fill="F3EFE6"/>
          </w:tcPr>
          <w:p>
            <w:pPr>
              <w:spacing w:after="0" w:before="0"/>
            </w:pPr>
            <w:r/>
            <w:r>
              <w:rPr>
                <w:b w:val="0"/>
                <w:i w:val="0"/>
                <w:color w:val="1A1A1A"/>
                <w:sz w:val="18"/>
              </w:rPr>
              <w:t>Ziel: 150 g je Gast, also höchstens 25,5 kg</w:t>
            </w:r>
          </w:p>
        </w:tc>
        <w:tc>
          <w:tcPr>
            <w:tcW w:type="dxa" w:w="1814"/>
            <w:shd w:val="clear" w:color="auto" w:fill="F3EFE6"/>
          </w:tcPr>
          <w:p>
            <w:pPr>
              <w:spacing w:after="0" w:before="0"/>
            </w:pPr>
            <w:r/>
            <w:r>
              <w:rPr>
                <w:b w:val="0"/>
                <w:i w:val="0"/>
                <w:color w:val="1A1A1A"/>
                <w:sz w:val="18"/>
              </w:rPr>
            </w:r>
          </w:p>
        </w:tc>
      </w:tr>
    </w:tbl>
    <w:p>
      <w:pPr>
        <w:spacing w:after="40"/>
      </w:pPr>
    </w:p>
    <w:p>
      <w:r>
        <w:rPr>
          <w:b w:val="0"/>
          <w:i w:val="0"/>
        </w:rPr>
        <w:t>Die Rechnung stellt den Aufwand des Verfahrens neben den Wert einer einzigen Änderung. Neunzehn Stunden im Jahr sind die Zeit, in der das Haus vor vierzig Entscheidungen fragt, was sie berühren. Die letzte Zeile zeigt, dass auch eine geprüfte Änderung ein Ziel verfehlen kann. Gerade deshalb wird sie nachgeprüft.</w:t>
      </w:r>
    </w:p>
    <w:p>
      <w:pPr>
        <w:pStyle w:val="Heading2"/>
      </w:pPr>
      <w:r>
        <w:t>Was verlangt ist, und was nur Anleitung ist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3288"/>
        <w:gridCol w:w="3175"/>
        <w:gridCol w:w="3175"/>
      </w:tblGrid>
      <w:tr>
        <w:trPr>
          <w:cantSplit w:val="true"/>
          <w:tblHeader w:val="true"/>
        </w:trPr>
        <w:tc>
          <w:tcPr>
            <w:tcW w:type="dxa" w:w="3288"/>
            <w:shd w:val="clear" w:color="auto" w:fill="8C5A2B"/>
          </w:tcPr>
          <w:p>
            <w:pPr>
              <w:spacing w:after="0" w:before="0"/>
            </w:pPr>
            <w:r/>
            <w:r>
              <w:rPr>
                <w:b/>
                <w:i w:val="0"/>
                <w:color w:val="FFFFFF"/>
                <w:sz w:val="18"/>
              </w:rPr>
              <w:t>Verlangt (Norm)</w:t>
            </w:r>
          </w:p>
        </w:tc>
        <w:tc>
          <w:tcPr>
            <w:tcW w:type="dxa" w:w="3175"/>
            <w:shd w:val="clear" w:color="auto" w:fill="8C5A2B"/>
          </w:tcPr>
          <w:p>
            <w:pPr>
              <w:spacing w:after="0" w:before="0"/>
            </w:pPr>
            <w:r/>
            <w:r>
              <w:rPr>
                <w:b/>
                <w:i w:val="0"/>
                <w:color w:val="FFFFFF"/>
                <w:sz w:val="18"/>
              </w:rPr>
              <w:t>Was es im Hotel belegt</w:t>
            </w:r>
          </w:p>
        </w:tc>
        <w:tc>
          <w:tcPr>
            <w:tcW w:type="dxa" w:w="3175"/>
            <w:shd w:val="clear" w:color="auto" w:fill="8C5A2B"/>
          </w:tcPr>
          <w:p>
            <w:pPr>
              <w:spacing w:after="0" w:before="0"/>
            </w:pPr>
            <w:r/>
            <w:r>
              <w:rPr>
                <w:b/>
                <w:i w:val="0"/>
                <w:color w:val="FFFFFF"/>
                <w:sz w:val="18"/>
              </w:rPr>
              <w:t>Nur Anhang oder Methode</w:t>
            </w:r>
          </w:p>
        </w:tc>
      </w:tr>
      <w:tr>
        <w:trPr>
          <w:cantSplit w:val="true"/>
        </w:trPr>
        <w:tc>
          <w:tcPr>
            <w:tcW w:type="dxa" w:w="3288"/>
          </w:tcPr>
          <w:p>
            <w:pPr>
              <w:spacing w:after="0" w:before="0"/>
            </w:pPr>
            <w:r/>
            <w:r>
              <w:rPr>
                <w:b w:val="0"/>
                <w:i w:val="0"/>
                <w:color w:val="1A1A1A"/>
                <w:sz w:val="18"/>
              </w:rPr>
              <w:t>Prozesse bei geänderten Umständen anpassen, im Einklang mit Leitbild und Politik (8.2)</w:t>
            </w:r>
          </w:p>
        </w:tc>
        <w:tc>
          <w:tcPr>
            <w:tcW w:type="dxa" w:w="3175"/>
          </w:tcPr>
          <w:p>
            <w:pPr>
              <w:spacing w:after="0" w:before="0"/>
            </w:pPr>
            <w:r/>
            <w:r>
              <w:rPr>
                <w:b w:val="0"/>
                <w:i w:val="0"/>
                <w:color w:val="1A1A1A"/>
                <w:sz w:val="18"/>
              </w:rPr>
              <w:t>Änderungsblatt mit Prüfung gegen Ziele und Leitbild</w:t>
            </w:r>
          </w:p>
        </w:tc>
        <w:tc>
          <w:tcPr>
            <w:tcW w:type="dxa" w:w="3175"/>
          </w:tcPr>
          <w:p>
            <w:pPr>
              <w:spacing w:after="0" w:before="0"/>
            </w:pPr>
            <w:r/>
            <w:r>
              <w:rPr>
                <w:b w:val="0"/>
                <w:i w:val="0"/>
                <w:color w:val="1A1A1A"/>
                <w:sz w:val="18"/>
              </w:rPr>
              <w:t>Methode: drei Stufen, Frist bis zum Folgetag</w:t>
            </w:r>
          </w:p>
        </w:tc>
      </w:tr>
      <w:tr>
        <w:trPr>
          <w:cantSplit w:val="true"/>
        </w:trPr>
        <w:tc>
          <w:tcPr>
            <w:tcW w:type="dxa" w:w="3288"/>
            <w:shd w:val="clear" w:color="auto" w:fill="F3EFE6"/>
          </w:tcPr>
          <w:p>
            <w:pPr>
              <w:spacing w:after="0" w:before="0"/>
            </w:pPr>
            <w:r/>
            <w:r>
              <w:rPr>
                <w:b w:val="0"/>
                <w:i w:val="0"/>
                <w:color w:val="1A1A1A"/>
                <w:sz w:val="18"/>
              </w:rPr>
              <w:t>Entscheidungen überwachen und bewerten (8.2)</w:t>
            </w:r>
          </w:p>
        </w:tc>
        <w:tc>
          <w:tcPr>
            <w:tcW w:type="dxa" w:w="3175"/>
            <w:shd w:val="clear" w:color="auto" w:fill="F3EFE6"/>
          </w:tcPr>
          <w:p>
            <w:pPr>
              <w:spacing w:after="0" w:before="0"/>
            </w:pPr>
            <w:r/>
            <w:r>
              <w:rPr>
                <w:b w:val="0"/>
                <w:i w:val="0"/>
                <w:color w:val="1A1A1A"/>
                <w:sz w:val="18"/>
              </w:rPr>
              <w:t>Nachprüfung auf dem Blatt nach der Veranstaltung</w:t>
            </w:r>
          </w:p>
        </w:tc>
        <w:tc>
          <w:tcPr>
            <w:tcW w:type="dxa" w:w="3175"/>
            <w:shd w:val="clear" w:color="auto" w:fill="F3EFE6"/>
          </w:tcPr>
          <w:p>
            <w:pPr>
              <w:spacing w:after="0" w:before="0"/>
            </w:pPr>
            <w:r/>
            <w:r>
              <w:rPr>
                <w:b w:val="0"/>
                <w:i w:val="0"/>
                <w:color w:val="1A1A1A"/>
                <w:sz w:val="18"/>
              </w:rPr>
              <w:t>Methode: eine Zeile Lehre je Änderung</w:t>
            </w:r>
          </w:p>
        </w:tc>
      </w:tr>
      <w:tr>
        <w:trPr>
          <w:cantSplit w:val="true"/>
        </w:trPr>
        <w:tc>
          <w:tcPr>
            <w:tcW w:type="dxa" w:w="3288"/>
          </w:tcPr>
          <w:p>
            <w:pPr>
              <w:spacing w:after="0" w:before="0"/>
            </w:pPr>
            <w:r/>
            <w:r>
              <w:rPr>
                <w:b w:val="0"/>
                <w:i w:val="0"/>
                <w:color w:val="1A1A1A"/>
                <w:sz w:val="18"/>
              </w:rPr>
              <w:t>Lehren an die Managementbewertung (8.2, 9.3)</w:t>
            </w:r>
          </w:p>
        </w:tc>
        <w:tc>
          <w:tcPr>
            <w:tcW w:type="dxa" w:w="3175"/>
          </w:tcPr>
          <w:p>
            <w:pPr>
              <w:spacing w:after="0" w:before="0"/>
            </w:pPr>
            <w:r/>
            <w:r>
              <w:rPr>
                <w:b w:val="0"/>
                <w:i w:val="0"/>
                <w:color w:val="1A1A1A"/>
                <w:sz w:val="18"/>
              </w:rPr>
              <w:t>Liste der Änderungen einer Saison im Protokoll</w:t>
            </w:r>
          </w:p>
        </w:tc>
        <w:tc>
          <w:tcPr>
            <w:tcW w:type="dxa" w:w="3175"/>
          </w:tcPr>
          <w:p>
            <w:pPr>
              <w:spacing w:after="0" w:before="0"/>
            </w:pPr>
            <w:r/>
            <w:r>
              <w:rPr>
                <w:b w:val="0"/>
                <w:i w:val="0"/>
                <w:color w:val="1A1A1A"/>
                <w:sz w:val="18"/>
              </w:rPr>
              <w:t>A.22: Bewertung muss nicht warten</w:t>
            </w:r>
          </w:p>
        </w:tc>
      </w:tr>
      <w:tr>
        <w:trPr>
          <w:cantSplit w:val="true"/>
        </w:trPr>
        <w:tc>
          <w:tcPr>
            <w:tcW w:type="dxa" w:w="3288"/>
            <w:shd w:val="clear" w:color="auto" w:fill="F3EFE6"/>
          </w:tcPr>
          <w:p>
            <w:pPr>
              <w:spacing w:after="0" w:before="0"/>
            </w:pPr>
            <w:r/>
            <w:r>
              <w:rPr>
                <w:b w:val="0"/>
                <w:i w:val="0"/>
                <w:color w:val="1A1A1A"/>
                <w:sz w:val="18"/>
              </w:rPr>
              <w:t>Geplante Änderungen steuern, unbeabsichtigte überprüfen (8.1)</w:t>
            </w:r>
          </w:p>
        </w:tc>
        <w:tc>
          <w:tcPr>
            <w:tcW w:type="dxa" w:w="3175"/>
            <w:shd w:val="clear" w:color="auto" w:fill="F3EFE6"/>
          </w:tcPr>
          <w:p>
            <w:pPr>
              <w:spacing w:after="0" w:before="0"/>
            </w:pPr>
            <w:r/>
            <w:r>
              <w:rPr>
                <w:b w:val="0"/>
                <w:i w:val="0"/>
                <w:color w:val="1A1A1A"/>
                <w:sz w:val="18"/>
              </w:rPr>
              <w:t>Blatt auch für Ersatzlieferungen und Ausfälle</w:t>
            </w:r>
          </w:p>
        </w:tc>
        <w:tc>
          <w:tcPr>
            <w:tcW w:type="dxa" w:w="3175"/>
            <w:shd w:val="clear" w:color="auto" w:fill="F3EFE6"/>
          </w:tcPr>
          <w:p>
            <w:pPr>
              <w:spacing w:after="0" w:before="0"/>
            </w:pPr>
            <w:r/>
            <w:r>
              <w:rPr>
                <w:b w:val="0"/>
                <w:i w:val="0"/>
                <w:color w:val="1A1A1A"/>
                <w:sz w:val="18"/>
              </w:rPr>
              <w:t>A.17: Prozesse nach Vorfällen überprüfen</w:t>
            </w:r>
          </w:p>
        </w:tc>
      </w:tr>
      <w:tr>
        <w:trPr>
          <w:cantSplit w:val="true"/>
        </w:trPr>
        <w:tc>
          <w:tcPr>
            <w:tcW w:type="dxa" w:w="3288"/>
          </w:tcPr>
          <w:p>
            <w:pPr>
              <w:spacing w:after="0" w:before="0"/>
            </w:pPr>
            <w:r/>
            <w:r>
              <w:rPr>
                <w:b w:val="0"/>
                <w:i w:val="0"/>
                <w:color w:val="1A1A1A"/>
                <w:sz w:val="18"/>
              </w:rPr>
              <w:t>Änderungen am System geplant durchführen (6.3)</w:t>
            </w:r>
          </w:p>
        </w:tc>
        <w:tc>
          <w:tcPr>
            <w:tcW w:type="dxa" w:w="3175"/>
          </w:tcPr>
          <w:p>
            <w:pPr>
              <w:spacing w:after="0" w:before="0"/>
            </w:pPr>
            <w:r/>
            <w:r>
              <w:rPr>
                <w:b w:val="0"/>
                <w:i w:val="0"/>
                <w:color w:val="1A1A1A"/>
                <w:sz w:val="18"/>
              </w:rPr>
              <w:t>Beschluss mit Grund, Verantwortlichem und Termin</w:t>
            </w:r>
          </w:p>
        </w:tc>
        <w:tc>
          <w:tcPr>
            <w:tcW w:type="dxa" w:w="3175"/>
          </w:tcPr>
          <w:p>
            <w:pPr>
              <w:spacing w:after="0" w:before="0"/>
            </w:pPr>
            <w:r/>
            <w:r>
              <w:rPr>
                <w:b w:val="0"/>
                <w:i w:val="0"/>
                <w:color w:val="1A1A1A"/>
                <w:sz w:val="18"/>
              </w:rPr>
              <w:t>Methode: Muster aus der Liste ableiten</w:t>
            </w:r>
          </w:p>
        </w:tc>
      </w:tr>
      <w:tr>
        <w:trPr>
          <w:cantSplit w:val="true"/>
        </w:trPr>
        <w:tc>
          <w:tcPr>
            <w:tcW w:type="dxa" w:w="3288"/>
            <w:shd w:val="clear" w:color="auto" w:fill="F3EFE6"/>
          </w:tcPr>
          <w:p>
            <w:pPr>
              <w:spacing w:after="0" w:before="0"/>
            </w:pPr>
            <w:r/>
            <w:r>
              <w:rPr>
                <w:b w:val="0"/>
                <w:i w:val="0"/>
                <w:color w:val="1A1A1A"/>
                <w:sz w:val="18"/>
              </w:rPr>
              <w:t>Ziele überwachen und wo nötig aktualisieren (6.2)</w:t>
            </w:r>
          </w:p>
        </w:tc>
        <w:tc>
          <w:tcPr>
            <w:tcW w:type="dxa" w:w="3175"/>
            <w:shd w:val="clear" w:color="auto" w:fill="F3EFE6"/>
          </w:tcPr>
          <w:p>
            <w:pPr>
              <w:spacing w:after="0" w:before="0"/>
            </w:pPr>
            <w:r/>
            <w:r>
              <w:rPr>
                <w:b w:val="0"/>
                <w:i w:val="0"/>
                <w:color w:val="1A1A1A"/>
                <w:sz w:val="18"/>
              </w:rPr>
              <w:t>Zielzeile auf dem Blatt, Zahl nach der Veranstaltung</w:t>
            </w:r>
          </w:p>
        </w:tc>
        <w:tc>
          <w:tcPr>
            <w:tcW w:type="dxa" w:w="3175"/>
            <w:shd w:val="clear" w:color="auto" w:fill="F3EFE6"/>
          </w:tcPr>
          <w:p>
            <w:pPr>
              <w:spacing w:after="0" w:before="0"/>
            </w:pPr>
            <w:r/>
            <w:r>
              <w:rPr>
                <w:b w:val="0"/>
                <w:i w:val="0"/>
                <w:color w:val="1A1A1A"/>
                <w:sz w:val="18"/>
              </w:rPr>
              <w:t>Methode: Ziele sichtbar am Pass</w:t>
            </w:r>
          </w:p>
        </w:tc>
      </w:tr>
    </w:tbl>
    <w:p>
      <w:pPr>
        <w:spacing w:after="40"/>
      </w:pPr>
    </w:p>
    <w:p>
      <w:pPr>
        <w:pStyle w:val="Heading2"/>
      </w:pPr>
      <w:r>
        <w:t>DACH-Anker: was eine Änderung rechtlich mitbringt</w:t>
      </w:r>
    </w:p>
    <w:tbl>
      <w:tblPr>
        <w:tblW w:type="auto" w:w="0"/>
        <w:jc w:val="center"/>
        <w:tblLook w:firstColumn="1" w:firstRow="1" w:lastColumn="0" w:lastRow="0" w:noHBand="0" w:noVBand="1" w:val="04A0"/>
        <w:tblBorders>
          <w:top w:val="single" w:sz="4" w:color="D9CBB5"/>
          <w:left w:val="single" w:sz="4" w:color="D9CBB5"/>
          <w:bottom w:val="single" w:sz="4" w:color="D9CBB5"/>
          <w:right w:val="single" w:sz="4" w:color="D9CBB5"/>
          <w:insideH w:val="single" w:sz="4" w:color="D9CBB5"/>
          <w:insideV w:val="single" w:sz="4" w:color="D9CBB5"/>
        </w:tblBorders>
        <w:tblLayout w:type="fixed"/>
        <w:tblCellMar>
          <w:top w:w="60" w:type="dxa"/>
          <w:left w:w="90" w:type="dxa"/>
          <w:bottom w:w="60" w:type="dxa"/>
          <w:right w:w="90" w:type="dxa"/>
        </w:tblCellMar>
      </w:tblPr>
      <w:tblGrid>
        <w:gridCol w:w="1474"/>
        <w:gridCol w:w="2721"/>
        <w:gridCol w:w="2721"/>
        <w:gridCol w:w="2721"/>
      </w:tblGrid>
      <w:tr>
        <w:trPr>
          <w:cantSplit w:val="true"/>
          <w:tblHeader w:val="true"/>
        </w:trPr>
        <w:tc>
          <w:tcPr>
            <w:tcW w:type="dxa" w:w="1474"/>
            <w:shd w:val="clear" w:color="auto" w:fill="8C5A2B"/>
          </w:tcPr>
          <w:p>
            <w:pPr>
              <w:spacing w:after="0" w:before="0"/>
            </w:pPr>
            <w:r/>
            <w:r>
              <w:rPr>
                <w:b/>
                <w:i w:val="0"/>
                <w:color w:val="FFFFFF"/>
                <w:sz w:val="17"/>
              </w:rPr>
              <w:t>Ebene</w:t>
            </w:r>
          </w:p>
        </w:tc>
        <w:tc>
          <w:tcPr>
            <w:tcW w:type="dxa" w:w="2721"/>
            <w:shd w:val="clear" w:color="auto" w:fill="8C5A2B"/>
          </w:tcPr>
          <w:p>
            <w:pPr>
              <w:spacing w:after="0" w:before="0"/>
            </w:pPr>
            <w:r/>
            <w:r>
              <w:rPr>
                <w:b/>
                <w:i w:val="0"/>
                <w:color w:val="FFFFFF"/>
                <w:sz w:val="17"/>
              </w:rPr>
              <w:t>Deutschland</w:t>
            </w:r>
          </w:p>
        </w:tc>
        <w:tc>
          <w:tcPr>
            <w:tcW w:type="dxa" w:w="2721"/>
            <w:shd w:val="clear" w:color="auto" w:fill="8C5A2B"/>
          </w:tcPr>
          <w:p>
            <w:pPr>
              <w:spacing w:after="0" w:before="0"/>
            </w:pPr>
            <w:r/>
            <w:r>
              <w:rPr>
                <w:b/>
                <w:i w:val="0"/>
                <w:color w:val="FFFFFF"/>
                <w:sz w:val="17"/>
              </w:rPr>
              <w:t>Österreich</w:t>
            </w:r>
          </w:p>
        </w:tc>
        <w:tc>
          <w:tcPr>
            <w:tcW w:type="dxa" w:w="2721"/>
            <w:shd w:val="clear" w:color="auto" w:fill="8C5A2B"/>
          </w:tcPr>
          <w:p>
            <w:pPr>
              <w:spacing w:after="0" w:before="0"/>
            </w:pPr>
            <w:r/>
            <w:r>
              <w:rPr>
                <w:b/>
                <w:i w:val="0"/>
                <w:color w:val="FFFFFF"/>
                <w:sz w:val="17"/>
              </w:rPr>
              <w:t>Schweiz</w:t>
            </w:r>
          </w:p>
        </w:tc>
      </w:tr>
      <w:tr>
        <w:trPr>
          <w:cantSplit w:val="true"/>
        </w:trPr>
        <w:tc>
          <w:tcPr>
            <w:tcW w:type="dxa" w:w="1474"/>
          </w:tcPr>
          <w:p>
            <w:pPr>
              <w:spacing w:after="0" w:before="0"/>
            </w:pPr>
            <w:r/>
            <w:r>
              <w:rPr>
                <w:b w:val="0"/>
                <w:i w:val="0"/>
                <w:color w:val="1A1A1A"/>
                <w:sz w:val="17"/>
              </w:rPr>
              <w:t>Mehr Gäste, anderer Raum</w:t>
            </w:r>
          </w:p>
        </w:tc>
        <w:tc>
          <w:tcPr>
            <w:tcW w:type="dxa" w:w="2721"/>
          </w:tcPr>
          <w:p>
            <w:pPr>
              <w:spacing w:after="0" w:before="0"/>
            </w:pPr>
            <w:r/>
            <w:r>
              <w:rPr>
                <w:b w:val="0"/>
                <w:i w:val="0"/>
                <w:color w:val="1A1A1A"/>
                <w:sz w:val="17"/>
              </w:rPr>
              <w:t>Versammlungsstättenrecht der Länder; in Bayern für Räume über 200 Besucher (§ 1 Abs. 1 VStättV)</w:t>
            </w:r>
          </w:p>
        </w:tc>
        <w:tc>
          <w:tcPr>
            <w:tcW w:type="dxa" w:w="2721"/>
          </w:tcPr>
          <w:p>
            <w:pPr>
              <w:spacing w:after="0" w:before="0"/>
            </w:pPr>
            <w:r/>
            <w:r>
              <w:rPr>
                <w:b w:val="0"/>
                <w:i w:val="0"/>
                <w:color w:val="1A1A1A"/>
                <w:sz w:val="17"/>
              </w:rPr>
              <w:t>Veranstaltungsrecht der Länder (1.13)</w:t>
            </w:r>
          </w:p>
        </w:tc>
        <w:tc>
          <w:tcPr>
            <w:tcW w:type="dxa" w:w="2721"/>
          </w:tcPr>
          <w:p>
            <w:pPr>
              <w:spacing w:after="0" w:before="0"/>
            </w:pPr>
            <w:r/>
            <w:r>
              <w:rPr>
                <w:b w:val="0"/>
                <w:i w:val="0"/>
                <w:color w:val="1A1A1A"/>
                <w:sz w:val="17"/>
              </w:rPr>
              <w:t>kantonales Brandschutzrecht (1.13)</w:t>
            </w:r>
          </w:p>
        </w:tc>
      </w:tr>
      <w:tr>
        <w:trPr>
          <w:cantSplit w:val="true"/>
        </w:trPr>
        <w:tc>
          <w:tcPr>
            <w:tcW w:type="dxa" w:w="1474"/>
            <w:shd w:val="clear" w:color="auto" w:fill="F3EFE6"/>
          </w:tcPr>
          <w:p>
            <w:pPr>
              <w:spacing w:after="0" w:before="0"/>
            </w:pPr>
            <w:r/>
            <w:r>
              <w:rPr>
                <w:b w:val="0"/>
                <w:i w:val="0"/>
                <w:color w:val="1A1A1A"/>
                <w:sz w:val="17"/>
              </w:rPr>
              <w:t>Neuer Küchenprozess, etwa Grill im Freien</w:t>
            </w:r>
          </w:p>
        </w:tc>
        <w:tc>
          <w:tcPr>
            <w:tcW w:type="dxa" w:w="2721"/>
            <w:shd w:val="clear" w:color="auto" w:fill="F3EFE6"/>
          </w:tcPr>
          <w:p>
            <w:pPr>
              <w:spacing w:after="0" w:before="0"/>
            </w:pPr>
            <w:r/>
            <w:r>
              <w:rPr>
                <w:b w:val="0"/>
                <w:i w:val="0"/>
                <w:color w:val="1A1A1A"/>
                <w:sz w:val="17"/>
              </w:rPr>
              <w:t>HACCP-Verfahren bei Veränderungen überprüfen (Art. 5 VO (EG) Nr. 852/2004)</w:t>
            </w:r>
          </w:p>
        </w:tc>
        <w:tc>
          <w:tcPr>
            <w:tcW w:type="dxa" w:w="2721"/>
            <w:shd w:val="clear" w:color="auto" w:fill="F3EFE6"/>
          </w:tcPr>
          <w:p>
            <w:pPr>
              <w:spacing w:after="0" w:before="0"/>
            </w:pPr>
            <w:r/>
            <w:r>
              <w:rPr>
                <w:b w:val="0"/>
                <w:i w:val="0"/>
                <w:color w:val="1A1A1A"/>
                <w:sz w:val="17"/>
              </w:rPr>
              <w:t>ebenso, Unionsrecht</w:t>
            </w:r>
          </w:p>
        </w:tc>
        <w:tc>
          <w:tcPr>
            <w:tcW w:type="dxa" w:w="2721"/>
            <w:shd w:val="clear" w:color="auto" w:fill="F3EFE6"/>
          </w:tcPr>
          <w:p>
            <w:pPr>
              <w:spacing w:after="0" w:before="0"/>
            </w:pPr>
            <w:r/>
            <w:r>
              <w:rPr>
                <w:b w:val="0"/>
                <w:i w:val="0"/>
                <w:color w:val="1A1A1A"/>
                <w:sz w:val="17"/>
              </w:rPr>
              <w:t>Selbstkontrolle (Art. 26 LMG, Art. 74 ff. LGV)</w:t>
            </w:r>
          </w:p>
        </w:tc>
      </w:tr>
      <w:tr>
        <w:trPr>
          <w:cantSplit w:val="true"/>
        </w:trPr>
        <w:tc>
          <w:tcPr>
            <w:tcW w:type="dxa" w:w="1474"/>
          </w:tcPr>
          <w:p>
            <w:pPr>
              <w:spacing w:after="0" w:before="0"/>
            </w:pPr>
            <w:r/>
            <w:r>
              <w:rPr>
                <w:b w:val="0"/>
                <w:i w:val="0"/>
                <w:color w:val="1A1A1A"/>
                <w:sz w:val="17"/>
              </w:rPr>
              <w:t>Längerer Abend, mehr Personal</w:t>
            </w:r>
          </w:p>
        </w:tc>
        <w:tc>
          <w:tcPr>
            <w:tcW w:type="dxa" w:w="2721"/>
          </w:tcPr>
          <w:p>
            <w:pPr>
              <w:spacing w:after="0" w:before="0"/>
            </w:pPr>
            <w:r/>
            <w:r>
              <w:rPr>
                <w:b w:val="0"/>
                <w:i w:val="0"/>
                <w:color w:val="1A1A1A"/>
                <w:sz w:val="17"/>
              </w:rPr>
              <w:t>Arbeitszeitgesetz (1.12)</w:t>
            </w:r>
          </w:p>
        </w:tc>
        <w:tc>
          <w:tcPr>
            <w:tcW w:type="dxa" w:w="2721"/>
          </w:tcPr>
          <w:p>
            <w:pPr>
              <w:spacing w:after="0" w:before="0"/>
            </w:pPr>
            <w:r/>
            <w:r>
              <w:rPr>
                <w:b w:val="0"/>
                <w:i w:val="0"/>
                <w:color w:val="1A1A1A"/>
                <w:sz w:val="17"/>
              </w:rPr>
              <w:t>Arbeitszeitgesetz (1.12)</w:t>
            </w:r>
          </w:p>
        </w:tc>
        <w:tc>
          <w:tcPr>
            <w:tcW w:type="dxa" w:w="2721"/>
          </w:tcPr>
          <w:p>
            <w:pPr>
              <w:spacing w:after="0" w:before="0"/>
            </w:pPr>
            <w:r/>
            <w:r>
              <w:rPr>
                <w:b w:val="0"/>
                <w:i w:val="0"/>
                <w:color w:val="1A1A1A"/>
                <w:sz w:val="17"/>
              </w:rPr>
              <w:t>Arbeitsgesetz, Gesamtarbeitsvertrag des Gastgewerbes (1.12)</w:t>
            </w:r>
          </w:p>
        </w:tc>
      </w:tr>
      <w:tr>
        <w:trPr>
          <w:cantSplit w:val="true"/>
        </w:trPr>
        <w:tc>
          <w:tcPr>
            <w:tcW w:type="dxa" w:w="1474"/>
            <w:shd w:val="clear" w:color="auto" w:fill="F3EFE6"/>
          </w:tcPr>
          <w:p>
            <w:pPr>
              <w:spacing w:after="0" w:before="0"/>
            </w:pPr>
            <w:r/>
            <w:r>
              <w:rPr>
                <w:b w:val="0"/>
                <w:i w:val="0"/>
                <w:color w:val="1A1A1A"/>
                <w:sz w:val="17"/>
              </w:rPr>
              <w:t>Rauch und Lärm im Freien</w:t>
            </w:r>
          </w:p>
        </w:tc>
        <w:tc>
          <w:tcPr>
            <w:tcW w:type="dxa" w:w="2721"/>
            <w:shd w:val="clear" w:color="auto" w:fill="F3EFE6"/>
          </w:tcPr>
          <w:p>
            <w:pPr>
              <w:spacing w:after="0" w:before="0"/>
            </w:pPr>
            <w:r/>
            <w:r>
              <w:rPr>
                <w:b w:val="0"/>
                <w:i w:val="0"/>
                <w:color w:val="1A1A1A"/>
                <w:sz w:val="17"/>
              </w:rPr>
              <w:t>Immissionsschutzrecht, örtliche Regeln</w:t>
            </w:r>
          </w:p>
        </w:tc>
        <w:tc>
          <w:tcPr>
            <w:tcW w:type="dxa" w:w="2721"/>
            <w:shd w:val="clear" w:color="auto" w:fill="F3EFE6"/>
          </w:tcPr>
          <w:p>
            <w:pPr>
              <w:spacing w:after="0" w:before="0"/>
            </w:pPr>
            <w:r/>
            <w:r>
              <w:rPr>
                <w:b w:val="0"/>
                <w:i w:val="0"/>
                <w:color w:val="1A1A1A"/>
                <w:sz w:val="17"/>
              </w:rPr>
              <w:t>Landesrecht, örtliche Regeln</w:t>
            </w:r>
          </w:p>
        </w:tc>
        <w:tc>
          <w:tcPr>
            <w:tcW w:type="dxa" w:w="2721"/>
            <w:shd w:val="clear" w:color="auto" w:fill="F3EFE6"/>
          </w:tcPr>
          <w:p>
            <w:pPr>
              <w:spacing w:after="0" w:before="0"/>
            </w:pPr>
            <w:r/>
            <w:r>
              <w:rPr>
                <w:b w:val="0"/>
                <w:i w:val="0"/>
                <w:color w:val="1A1A1A"/>
                <w:sz w:val="17"/>
              </w:rPr>
              <w:t>Umweltschutzrecht, Polizeireglement der Gemeinde (1.13)</w:t>
            </w:r>
          </w:p>
        </w:tc>
      </w:tr>
      <w:tr>
        <w:trPr>
          <w:cantSplit w:val="true"/>
        </w:trPr>
        <w:tc>
          <w:tcPr>
            <w:tcW w:type="dxa" w:w="1474"/>
          </w:tcPr>
          <w:p>
            <w:pPr>
              <w:spacing w:after="0" w:before="0"/>
            </w:pPr>
            <w:r/>
            <w:r>
              <w:rPr>
                <w:b w:val="0"/>
                <w:i w:val="0"/>
                <w:color w:val="1A1A1A"/>
                <w:sz w:val="17"/>
              </w:rPr>
              <w:t>Aussage an die Gäste, die nach der Änderung nicht mehr stimmt</w:t>
            </w:r>
          </w:p>
        </w:tc>
        <w:tc>
          <w:tcPr>
            <w:tcW w:type="dxa" w:w="2721"/>
          </w:tcPr>
          <w:p>
            <w:pPr>
              <w:spacing w:after="0" w:before="0"/>
            </w:pPr>
            <w:r/>
            <w:r>
              <w:rPr>
                <w:b w:val="0"/>
                <w:i w:val="0"/>
                <w:color w:val="1A1A1A"/>
                <w:sz w:val="17"/>
              </w:rPr>
              <w:t>UWG, Regeln zu Umweltaussagen gegenüber Verbrauchern ab 27. September 2026</w:t>
            </w:r>
          </w:p>
        </w:tc>
        <w:tc>
          <w:tcPr>
            <w:tcW w:type="dxa" w:w="2721"/>
          </w:tcPr>
          <w:p>
            <w:pPr>
              <w:spacing w:after="0" w:before="0"/>
            </w:pPr>
            <w:r/>
            <w:r>
              <w:rPr>
                <w:b w:val="0"/>
                <w:i w:val="0"/>
                <w:color w:val="1A1A1A"/>
                <w:sz w:val="17"/>
              </w:rPr>
              <w:t>UWG-Novelle BGBl. I Nr. 58/2026, gegenüber Verbrauchern</w:t>
            </w:r>
          </w:p>
        </w:tc>
        <w:tc>
          <w:tcPr>
            <w:tcW w:type="dxa" w:w="2721"/>
          </w:tcPr>
          <w:p>
            <w:pPr>
              <w:spacing w:after="0" w:before="0"/>
            </w:pPr>
            <w:r/>
            <w:r>
              <w:rPr>
                <w:b w:val="0"/>
                <w:i w:val="0"/>
                <w:color w:val="1A1A1A"/>
                <w:sz w:val="17"/>
              </w:rPr>
              <w:t>UWG Art. 3 Abs. 1 lit. b; Klimaaussagen lit. x</w:t>
            </w:r>
          </w:p>
        </w:tc>
      </w:tr>
    </w:tbl>
    <w:p>
      <w:pPr>
        <w:spacing w:after="40"/>
      </w:pPr>
    </w:p>
    <w:p>
      <w:r>
        <w:rPr>
          <w:b w:val="0"/>
          <w:i w:val="0"/>
          <w:color w:val="5A5A5A"/>
          <w:sz w:val="17"/>
        </w:rPr>
        <w:t>Stand der Tabelle: 22. Oktober 2026, wie im Buch. Die laufende Fassung mit Änderungen nach diesem Stichtag steht in Band8a_Rechtsanker_DACH_laufend.xlsx. Die Tabelle ersetzt keine Prüfung der geltenden Fassung und keine Rechtsberatung im Einzelfall.</w:t>
      </w:r>
    </w:p>
    <w:p>
      <w:r>
        <w:rPr>
          <w:b w:val="0"/>
          <w:i w:val="0"/>
          <w:color w:val="5A5A5A"/>
          <w:sz w:val="17"/>
        </w:rPr>
        <w:t>Quelle: Francesco Dore, Das Steuer und die Lupe, Band 8a «Das Fest und seine Spuren», Abschnitt 2.10. Edizioni Effedore, 2026.</w:t>
      </w:r>
    </w:p>
    <w:sectPr w:rsidR="00FC693F" w:rsidRPr="0006063C" w:rsidSect="00034616">
      <w:footerReference w:type="default" r:id="rId9"/>
      <w:head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5A5A5A"/>
        <w:sz w:val="15"/>
      </w:rPr>
      <w:t xml:space="preserve">Arbeitsmaterial 2.10 · Edizioni Effedore · buecher.effedore.com · Arbeitshilfe, keine Rechtsberatung  ·  Seite </w:t>
    </w:r>
    <w:r>
      <w:rPr>
        <w:color w:val="5A5A5A"/>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C5A2B"/>
        <w:sz w:val="15"/>
      </w:rPr>
      <w:t>Das Steuer und die Lupe · Band 8a · ISO 20121 — Das Fest und seine Spuren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eastAsia="Aptos"/>
      <w:color w:val="1A1A1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80"/>
      <w:outlineLvl w:val="0"/>
    </w:pPr>
    <w:rPr>
      <w:rFonts w:asciiTheme="" w:eastAsiaTheme="majorEastAsia" w:hAnsiTheme="majorHAnsi" w:cstheme="majorBidi" w:ascii="Aptos" w:hAnsi="Aptos"/>
      <w:b/>
      <w:bCs/>
      <w:color w:val="8C5A2B"/>
      <w:sz w:val="36"/>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 w:eastAsiaTheme="majorEastAsia" w:hAnsiTheme="majorHAnsi" w:cstheme="majorBidi" w:ascii="Aptos" w:hAnsi="Aptos"/>
      <w:b/>
      <w:bCs/>
      <w:color w:val="8C5A2B"/>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Arbeitsmaterial 2.10 — Eine Änderung steuern</dc:title>
  <dc:subject/>
  <dc:creator>Francesco Dore</dc:creator>
  <cp:keywords/>
  <dc:description>generated by python-docx</dc:description>
  <cp:lastModifiedBy/>
  <cp:revision>1</cp:revision>
  <dcterms:created xsi:type="dcterms:W3CDTF">2013-12-23T23:15:00Z</dcterms:created>
  <dcterms:modified xsi:type="dcterms:W3CDTF">2013-12-23T23:15:00Z</dcterms:modified>
  <cp:category/>
</cp:coreProperties>
</file>