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2.11</w:t>
      </w:r>
    </w:p>
    <w:p>
      <w:pPr>
        <w:pStyle w:val="Heading1"/>
      </w:pPr>
      <w:r>
        <w:t>Einen Messplan aufstellen</w:t>
      </w:r>
    </w:p>
    <w:p>
      <w:pPr>
        <w:spacing w:after="0"/>
      </w:pPr>
      <w:r>
        <w:rPr>
          <w:b w:val="0"/>
          <w:i/>
          <w:color w:val="5A5A5A"/>
        </w:rPr>
        <w:t>Abschnitt 2.11 · Überwachen und messen</w:t>
      </w:r>
    </w:p>
    <w:p>
      <w:pPr>
        <w:spacing w:after="160"/>
      </w:pPr>
      <w:r>
        <w:rPr>
          <w:b w:val="0"/>
          <w:i w:val="0"/>
          <w:color w:val="5A5A5A"/>
          <w:sz w:val="18"/>
        </w:rPr>
        <w:t>Modellfall im Buch: Klagenfurt</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Sie heute die Zahlen Ihrer letzten zwanzig Veranstaltungen vor sich hätten: Wüssten Sie bei jeder, wie sie entstanden ist, mit welchem Gerät, zu welcher Uhrzeit und von wem? Und welche davon hat schon einmal eine Entscheidung in Ihrem Haus geändert?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Der Messplan auf einer Seite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Kennzahl</w:t>
            </w:r>
          </w:p>
        </w:tc>
        <w:tc>
          <w:tcPr>
            <w:tcW w:type="dxa" w:w="3213"/>
            <w:shd w:val="clear" w:color="auto" w:fill="8C5A2B"/>
          </w:tcPr>
          <w:p>
            <w:pPr>
              <w:spacing w:after="0" w:before="0"/>
            </w:pPr>
            <w:r/>
            <w:r>
              <w:rPr>
                <w:b/>
                <w:i w:val="0"/>
                <w:color w:val="FFFFFF"/>
                <w:sz w:val="18"/>
              </w:rPr>
              <w:t>Methode und Zeitpunkt</w:t>
            </w:r>
          </w:p>
        </w:tc>
        <w:tc>
          <w:tcPr>
            <w:tcW w:type="dxa" w:w="3213"/>
            <w:shd w:val="clear" w:color="auto" w:fill="8C5A2B"/>
          </w:tcPr>
          <w:p>
            <w:pPr>
              <w:spacing w:after="0" w:before="0"/>
            </w:pPr>
            <w:r/>
            <w:r>
              <w:rPr>
                <w:b/>
                <w:i w:val="0"/>
                <w:color w:val="FFFFFF"/>
                <w:sz w:val="18"/>
              </w:rPr>
              <w:t>Wer misst, wer wertet aus</w:t>
            </w:r>
          </w:p>
        </w:tc>
      </w:tr>
      <w:tr>
        <w:trPr>
          <w:cantSplit w:val="true"/>
        </w:trPr>
        <w:tc>
          <w:tcPr>
            <w:tcW w:type="dxa" w:w="3213"/>
          </w:tcPr>
          <w:p>
            <w:pPr>
              <w:spacing w:after="0" w:before="0"/>
            </w:pPr>
            <w:r/>
            <w:r>
              <w:rPr>
                <w:b w:val="0"/>
                <w:i w:val="0"/>
                <w:color w:val="1A1A1A"/>
                <w:sz w:val="18"/>
              </w:rPr>
              <w:t>Speisereste je Gast</w:t>
            </w:r>
          </w:p>
        </w:tc>
        <w:tc>
          <w:tcPr>
            <w:tcW w:type="dxa" w:w="3213"/>
          </w:tcPr>
          <w:p>
            <w:pPr>
              <w:spacing w:after="0" w:before="0"/>
            </w:pPr>
            <w:r/>
            <w:r>
              <w:rPr>
                <w:b w:val="0"/>
                <w:i w:val="0"/>
                <w:color w:val="1A1A1A"/>
                <w:sz w:val="18"/>
              </w:rPr>
              <w:t>Plattformwaage, Kübel netto, nach dem Bankett</w:t>
            </w:r>
          </w:p>
        </w:tc>
        <w:tc>
          <w:tcPr>
            <w:tcW w:type="dxa" w:w="3213"/>
          </w:tcPr>
          <w:p>
            <w:pPr>
              <w:spacing w:after="0" w:before="0"/>
            </w:pPr>
            <w:r/>
            <w:r>
              <w:rPr>
                <w:b w:val="0"/>
                <w:i w:val="0"/>
                <w:color w:val="1A1A1A"/>
                <w:sz w:val="18"/>
              </w:rPr>
              <w:t>Küche; Küchenchefin monatlich</w:t>
            </w:r>
          </w:p>
        </w:tc>
      </w:tr>
      <w:tr>
        <w:trPr>
          <w:cantSplit w:val="true"/>
        </w:trPr>
        <w:tc>
          <w:tcPr>
            <w:tcW w:type="dxa" w:w="3213"/>
            <w:shd w:val="clear" w:color="auto" w:fill="F3EFE6"/>
          </w:tcPr>
          <w:p>
            <w:pPr>
              <w:spacing w:after="0" w:before="0"/>
            </w:pPr>
            <w:r/>
            <w:r>
              <w:rPr>
                <w:b w:val="0"/>
                <w:i w:val="0"/>
                <w:color w:val="1A1A1A"/>
                <w:sz w:val="18"/>
              </w:rPr>
              <w:t>Strom des Saals je Veranstaltungstag</w:t>
            </w:r>
          </w:p>
        </w:tc>
        <w:tc>
          <w:tcPr>
            <w:tcW w:type="dxa" w:w="3213"/>
            <w:shd w:val="clear" w:color="auto" w:fill="F3EFE6"/>
          </w:tcPr>
          <w:p>
            <w:pPr>
              <w:spacing w:after="0" w:before="0"/>
            </w:pPr>
            <w:r/>
            <w:r>
              <w:rPr>
                <w:b w:val="0"/>
                <w:i w:val="0"/>
                <w:color w:val="1A1A1A"/>
                <w:sz w:val="18"/>
              </w:rPr>
              <w:t>Unterzähler ohne Foyerlüftung, Aufbau bis Abbau, mit Foto</w:t>
            </w:r>
          </w:p>
        </w:tc>
        <w:tc>
          <w:tcPr>
            <w:tcW w:type="dxa" w:w="3213"/>
            <w:shd w:val="clear" w:color="auto" w:fill="F3EFE6"/>
          </w:tcPr>
          <w:p>
            <w:pPr>
              <w:spacing w:after="0" w:before="0"/>
            </w:pPr>
            <w:r/>
            <w:r>
              <w:rPr>
                <w:b w:val="0"/>
                <w:i w:val="0"/>
                <w:color w:val="1A1A1A"/>
                <w:sz w:val="18"/>
              </w:rPr>
              <w:t>Haustechniker und Nachtportier; Haustechniker monatlich</w:t>
            </w:r>
          </w:p>
        </w:tc>
      </w:tr>
      <w:tr>
        <w:trPr>
          <w:cantSplit w:val="true"/>
        </w:trPr>
        <w:tc>
          <w:tcPr>
            <w:tcW w:type="dxa" w:w="3213"/>
          </w:tcPr>
          <w:p>
            <w:pPr>
              <w:spacing w:after="0" w:before="0"/>
            </w:pPr>
            <w:r/>
            <w:r>
              <w:rPr>
                <w:b w:val="0"/>
                <w:i w:val="0"/>
                <w:color w:val="1A1A1A"/>
                <w:sz w:val="18"/>
              </w:rPr>
              <w:t>Mehrweg an allen Ausschankstellen</w:t>
            </w:r>
          </w:p>
        </w:tc>
        <w:tc>
          <w:tcPr>
            <w:tcW w:type="dxa" w:w="3213"/>
          </w:tcPr>
          <w:p>
            <w:pPr>
              <w:spacing w:after="0" w:before="0"/>
            </w:pPr>
            <w:r/>
            <w:r>
              <w:rPr>
                <w:b w:val="0"/>
                <w:i w:val="0"/>
                <w:color w:val="1A1A1A"/>
                <w:sz w:val="18"/>
              </w:rPr>
              <w:t>Rundgang am Ende, ja oder nein je Stelle</w:t>
            </w:r>
          </w:p>
        </w:tc>
        <w:tc>
          <w:tcPr>
            <w:tcW w:type="dxa" w:w="3213"/>
          </w:tcPr>
          <w:p>
            <w:pPr>
              <w:spacing w:after="0" w:before="0"/>
            </w:pPr>
            <w:r/>
            <w:r>
              <w:rPr>
                <w:b w:val="0"/>
                <w:i w:val="0"/>
                <w:color w:val="1A1A1A"/>
                <w:sz w:val="18"/>
              </w:rPr>
              <w:t>Bankettleitung; monatlich</w:t>
            </w:r>
          </w:p>
        </w:tc>
      </w:tr>
      <w:tr>
        <w:trPr>
          <w:cantSplit w:val="true"/>
        </w:trPr>
        <w:tc>
          <w:tcPr>
            <w:tcW w:type="dxa" w:w="3213"/>
            <w:shd w:val="clear" w:color="auto" w:fill="F3EFE6"/>
          </w:tcPr>
          <w:p>
            <w:pPr>
              <w:spacing w:after="0" w:before="0"/>
            </w:pPr>
            <w:r/>
            <w:r>
              <w:rPr>
                <w:b w:val="0"/>
                <w:i w:val="0"/>
                <w:color w:val="1A1A1A"/>
                <w:sz w:val="18"/>
              </w:rPr>
              <w:t>Bedarfe an Barrierefreiheit</w:t>
            </w:r>
          </w:p>
        </w:tc>
        <w:tc>
          <w:tcPr>
            <w:tcW w:type="dxa" w:w="3213"/>
            <w:shd w:val="clear" w:color="auto" w:fill="F3EFE6"/>
          </w:tcPr>
          <w:p>
            <w:pPr>
              <w:spacing w:after="0" w:before="0"/>
            </w:pPr>
            <w:r/>
            <w:r>
              <w:rPr>
                <w:b w:val="0"/>
                <w:i w:val="0"/>
                <w:color w:val="1A1A1A"/>
                <w:sz w:val="18"/>
              </w:rPr>
              <w:t>vorher erfragt, nachher als erfüllt oder nicht erfasst</w:t>
            </w:r>
          </w:p>
        </w:tc>
        <w:tc>
          <w:tcPr>
            <w:tcW w:type="dxa" w:w="3213"/>
            <w:shd w:val="clear" w:color="auto" w:fill="F3EFE6"/>
          </w:tcPr>
          <w:p>
            <w:pPr>
              <w:spacing w:after="0" w:before="0"/>
            </w:pPr>
            <w:r/>
            <w:r>
              <w:rPr>
                <w:b w:val="0"/>
                <w:i w:val="0"/>
                <w:color w:val="1A1A1A"/>
                <w:sz w:val="18"/>
              </w:rPr>
              <w:t>Veranstaltungsbüro; Direktorin monatlich</w:t>
            </w:r>
          </w:p>
        </w:tc>
      </w:tr>
      <w:tr>
        <w:trPr>
          <w:cantSplit w:val="true"/>
        </w:trPr>
        <w:tc>
          <w:tcPr>
            <w:tcW w:type="dxa" w:w="3213"/>
          </w:tcPr>
          <w:p>
            <w:pPr>
              <w:spacing w:after="0" w:before="0"/>
            </w:pPr>
            <w:r/>
            <w:r>
              <w:rPr>
                <w:b w:val="0"/>
                <w:i w:val="0"/>
                <w:color w:val="1A1A1A"/>
                <w:sz w:val="18"/>
              </w:rPr>
              <w:t>Abfall je Fraktion</w:t>
            </w:r>
          </w:p>
        </w:tc>
        <w:tc>
          <w:tcPr>
            <w:tcW w:type="dxa" w:w="3213"/>
          </w:tcPr>
          <w:p>
            <w:pPr>
              <w:spacing w:after="0" w:before="0"/>
            </w:pPr>
            <w:r/>
            <w:r>
              <w:rPr>
                <w:b w:val="0"/>
                <w:i w:val="0"/>
                <w:color w:val="1A1A1A"/>
                <w:sz w:val="18"/>
              </w:rPr>
              <w:t>Wiegescheine des Entsorgers, je Monat</w:t>
            </w:r>
          </w:p>
        </w:tc>
        <w:tc>
          <w:tcPr>
            <w:tcW w:type="dxa" w:w="3213"/>
          </w:tcPr>
          <w:p>
            <w:pPr>
              <w:spacing w:after="0" w:before="0"/>
            </w:pPr>
            <w:r/>
            <w:r>
              <w:rPr>
                <w:b w:val="0"/>
                <w:i w:val="0"/>
                <w:color w:val="1A1A1A"/>
                <w:sz w:val="18"/>
              </w:rPr>
              <w:t>Hausdame; Direktorin vierteljährlich</w:t>
            </w:r>
          </w:p>
        </w:tc>
      </w:tr>
    </w:tbl>
    <w:p>
      <w:pPr>
        <w:spacing w:after="40"/>
      </w:pPr>
    </w:p>
    <w:p>
      <w:pPr>
        <w:pStyle w:val="Heading2"/>
      </w:pPr>
      <w:r>
        <w:t>Praktische Anwendung: einen Messplan in sieben Schritten aufstellen</w:t>
      </w:r>
    </w:p>
    <w:p>
      <w:pPr>
        <w:tabs>
          <w:tab w:pos="340" w:val="left"/>
        </w:tabs>
        <w:ind w:left="340" w:hanging="340"/>
      </w:pPr>
      <w:r>
        <w:rPr>
          <w:b/>
          <w:color w:val="8C5A2B"/>
        </w:rPr>
        <w:t>1.</w:t>
        <w:tab/>
      </w:r>
      <w:r>
        <w:rPr>
          <w:b/>
        </w:rPr>
        <w:t>Kennzahlen aus Zielen ableiten.</w:t>
      </w:r>
      <w:r>
        <w:t xml:space="preserve"> Gemessen wird nur, was zu einem Ziel oder einem bedeutenden Thema gehört und von einer Abteilung beeinflusst werden kann. Alles andere entfällt, auch wenn es sich leicht messen ließe.</w:t>
      </w:r>
    </w:p>
    <w:p>
      <w:pPr>
        <w:tabs>
          <w:tab w:pos="340" w:val="left"/>
        </w:tabs>
        <w:ind w:left="340" w:hanging="340"/>
      </w:pPr>
      <w:r>
        <w:rPr>
          <w:b/>
          <w:color w:val="8C5A2B"/>
        </w:rPr>
        <w:t>2.</w:t>
        <w:tab/>
      </w:r>
      <w:r>
        <w:rPr>
          <w:b/>
        </w:rPr>
        <w:t>Die Methode so aufschreiben, dass ein Vertreter sie anwenden kann.</w:t>
      </w:r>
      <w:r>
        <w:t xml:space="preserve"> Gerät, Einheit, Zeitpunkt, Tara, Foto. Schätzungen sind erlaubt, wenn sie als Schätzungen gekennzeichnet sind.</w:t>
      </w:r>
    </w:p>
    <w:p>
      <w:pPr>
        <w:tabs>
          <w:tab w:pos="340" w:val="left"/>
        </w:tabs>
        <w:ind w:left="340" w:hanging="340"/>
      </w:pPr>
      <w:r>
        <w:rPr>
          <w:b/>
          <w:color w:val="8C5A2B"/>
        </w:rPr>
        <w:t>3.</w:t>
        <w:tab/>
      </w:r>
      <w:r>
        <w:rPr>
          <w:b/>
        </w:rPr>
        <w:t>Ein Geräteverzeichnis anlegen.</w:t>
      </w:r>
      <w:r>
        <w:t xml:space="preserve"> Jedes Gerät mit Ort, Messbereich und Grenze: Was hängt am Zähler, was trägt die Waage? Dazu, wie und wann es geprüft wird.</w:t>
      </w:r>
    </w:p>
    <w:p>
      <w:pPr>
        <w:tabs>
          <w:tab w:pos="340" w:val="left"/>
        </w:tabs>
        <w:ind w:left="340" w:hanging="340"/>
      </w:pPr>
      <w:r>
        <w:rPr>
          <w:b/>
          <w:color w:val="8C5A2B"/>
        </w:rPr>
        <w:t>4.</w:t>
        <w:tab/>
      </w:r>
      <w:r>
        <w:rPr>
          <w:b/>
        </w:rPr>
        <w:t>Die Eichfrage am Verwendungszweck klären.</w:t>
      </w:r>
      <w:r>
        <w:t xml:space="preserve"> Wird mit dem Gerät etwas verrechnet oder amtlich festgestellt? Dann klärt das Haus die Eichpflicht mit der zuständigen Stelle, bevor es abrechnet.</w:t>
      </w:r>
    </w:p>
    <w:p>
      <w:pPr>
        <w:tabs>
          <w:tab w:pos="340" w:val="left"/>
        </w:tabs>
        <w:ind w:left="340" w:hanging="340"/>
      </w:pPr>
      <w:r>
        <w:rPr>
          <w:b/>
          <w:color w:val="8C5A2B"/>
        </w:rPr>
        <w:t>5.</w:t>
        <w:tab/>
      </w:r>
      <w:r>
        <w:rPr>
          <w:b/>
        </w:rPr>
        <w:t>Zuordnen, was sich zuordnen lässt.</w:t>
      </w:r>
      <w:r>
        <w:t xml:space="preserve"> Speisereste, Saalstrom und Ausschankstellen je Veranstaltung; Wochen- und Monatsmengen des Entsorgers je Monat. Nichts wird künstlich verteilt.</w:t>
      </w:r>
    </w:p>
    <w:p>
      <w:pPr>
        <w:tabs>
          <w:tab w:pos="340" w:val="left"/>
        </w:tabs>
        <w:ind w:left="340" w:hanging="340"/>
      </w:pPr>
      <w:r>
        <w:rPr>
          <w:b/>
          <w:color w:val="8C5A2B"/>
        </w:rPr>
        <w:t>6.</w:t>
        <w:tab/>
      </w:r>
      <w:r>
        <w:rPr>
          <w:b/>
        </w:rPr>
        <w:t>Auslöser für Handlungen festlegen.</w:t>
      </w:r>
      <w:r>
        <w:t xml:space="preserve"> Ab welcher Abweichung, nach welcher Dauer, wer handelt. Eine Zahl, die eine Grenze überschreitet, bekommt eine Maßnahme und einen Termin.</w:t>
      </w:r>
    </w:p>
    <w:p>
      <w:pPr>
        <w:tabs>
          <w:tab w:pos="340" w:val="left"/>
        </w:tabs>
        <w:ind w:left="340" w:hanging="340"/>
      </w:pPr>
      <w:r>
        <w:rPr>
          <w:b/>
          <w:color w:val="8C5A2B"/>
        </w:rPr>
        <w:t>7.</w:t>
        <w:tab/>
      </w:r>
      <w:r>
        <w:rPr>
          <w:b/>
        </w:rPr>
        <w:t>Nach jeder Veranstaltung eine Lehre aufschreiben.</w:t>
      </w:r>
      <w:r>
        <w:t xml:space="preserve"> Eine Zeile in der Nachbesprechung, die in die nächste Planung geht und gesammelt an die Managementbewertung.</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Kennzahlen aus Zielen ableiten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Methode so aufschreiben, dass ein Vertreter sie anwenden kann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Ein Geräteverzeichnis anlegen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Die Eichfrage am Verwendungszweck klären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Zuordnen, was sich zuordnen lässt</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Auslöser für Handlungen festlegen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Nach jeder Veranstaltung eine Lehre aufschreiben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Können wir für jede Kennzahl sagen, zu welchem Ziel oder Thema sie gehört?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die Methode jeder Messung so beschrieben, dass ein Vertreter sie anwenden kann?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Wissen wir für jeden Zähler, was an ihm hängt?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Wird die Waage regelmäßig mit einem bekannten Gewicht geprüft?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Haben wir geklärt, ob wir ein Messgerät im Geschäftsverkehr verwenden?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Sind Schätzungen in unseren Tabellen als Schätzungen gekennzeichnet?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Gibt es für jede Kennzahl eine Grenze, ab der jemand handelt?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Fragen wir vor der Veranstaltung, wer welche Unterstützung braucht?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Zu viel messen.</w:t>
      </w:r>
      <w:r>
        <w:t xml:space="preserve"> Elf Kennzahlen kosten fünfzig Minuten je Fest, und keine davon wird verwendet.</w:t>
      </w:r>
    </w:p>
    <w:p>
      <w:pPr>
        <w:tabs>
          <w:tab w:pos="340" w:val="left"/>
        </w:tabs>
        <w:ind w:left="340" w:hanging="340"/>
      </w:pPr>
      <w:r>
        <w:rPr>
          <w:color w:val="8C5A2B"/>
        </w:rPr>
        <w:t>–</w:t>
        <w:tab/>
      </w:r>
      <w:r>
        <w:rPr>
          <w:b/>
        </w:rPr>
        <w:t>Den Namen festlegen, nicht die Methode.</w:t>
      </w:r>
      <w:r>
        <w:t xml:space="preserve"> Unter derselben Überschrift stehen dann drei verschiedene Größen.</w:t>
      </w:r>
    </w:p>
    <w:p>
      <w:pPr>
        <w:tabs>
          <w:tab w:pos="340" w:val="left"/>
        </w:tabs>
        <w:ind w:left="340" w:hanging="340"/>
      </w:pPr>
      <w:r>
        <w:rPr>
          <w:color w:val="8C5A2B"/>
        </w:rPr>
        <w:t>–</w:t>
        <w:tab/>
      </w:r>
      <w:r>
        <w:rPr>
          <w:b/>
        </w:rPr>
        <w:t>Dem Schild am Zähler glauben.</w:t>
      </w:r>
      <w:r>
        <w:t xml:space="preserve"> Gezählt wird, was an ihm hängt, nicht, was darauf steht.</w:t>
      </w:r>
    </w:p>
    <w:p>
      <w:pPr>
        <w:tabs>
          <w:tab w:pos="340" w:val="left"/>
        </w:tabs>
        <w:ind w:left="340" w:hanging="340"/>
      </w:pPr>
      <w:r>
        <w:rPr>
          <w:color w:val="8C5A2B"/>
        </w:rPr>
        <w:t>–</w:t>
        <w:tab/>
      </w:r>
      <w:r>
        <w:rPr>
          <w:b/>
        </w:rPr>
        <w:t>Wochenmengen auf Veranstaltungen verteilen.</w:t>
      </w:r>
      <w:r>
        <w:t xml:space="preserve"> Die Zahl sieht genau aus und sagt nichts über das einzelne Fest.</w:t>
      </w:r>
    </w:p>
    <w:p>
      <w:pPr>
        <w:tabs>
          <w:tab w:pos="340" w:val="left"/>
        </w:tabs>
        <w:ind w:left="340" w:hanging="340"/>
      </w:pPr>
      <w:r>
        <w:rPr>
          <w:color w:val="8C5A2B"/>
        </w:rPr>
        <w:t>–</w:t>
        <w:tab/>
      </w:r>
      <w:r>
        <w:rPr>
          <w:b/>
        </w:rPr>
        <w:t>Beschwerden als Maß für Barrierefreiheit nehmen.</w:t>
      </w:r>
      <w:r>
        <w:t xml:space="preserve"> Wo niemand fragt, beschwert sich auch niemand.</w:t>
      </w:r>
    </w:p>
    <w:p>
      <w:pPr>
        <w:tabs>
          <w:tab w:pos="340" w:val="left"/>
        </w:tabs>
        <w:ind w:left="340" w:hanging="340"/>
      </w:pPr>
      <w:r>
        <w:rPr>
          <w:color w:val="8C5A2B"/>
        </w:rPr>
        <w:t>–</w:t>
        <w:tab/>
      </w:r>
      <w:r>
        <w:rPr>
          <w:b/>
        </w:rPr>
        <w:t>Auswerten, um zu berichten.</w:t>
      </w:r>
      <w:r>
        <w:t xml:space="preserve"> Eine Zahl, die keine Entscheidung im Haus ändert, ist für den Kunden auch nicht mehr wert.</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Bisheriger Aufwand: 84 Veranstaltungen × 50 Minuten</w:t>
            </w:r>
          </w:p>
        </w:tc>
        <w:tc>
          <w:tcPr>
            <w:tcW w:type="dxa" w:w="1474"/>
          </w:tcPr>
          <w:p>
            <w:pPr>
              <w:spacing w:after="0" w:before="0"/>
            </w:pPr>
            <w:r/>
            <w:r>
              <w:rPr>
                <w:b w:val="0"/>
                <w:i w:val="0"/>
                <w:color w:val="1A1A1A"/>
                <w:sz w:val="18"/>
              </w:rPr>
              <w:t>70 Stunden</w:t>
            </w:r>
          </w:p>
        </w:tc>
        <w:tc>
          <w:tcPr>
            <w:tcW w:type="dxa" w:w="3175"/>
          </w:tcPr>
          <w:p>
            <w:pPr>
              <w:spacing w:after="0" w:before="0"/>
            </w:pPr>
            <w:r/>
            <w:r>
              <w:rPr>
                <w:b w:val="0"/>
                <w:i w:val="0"/>
                <w:color w:val="1A1A1A"/>
                <w:sz w:val="18"/>
              </w:rPr>
              <w:t>jährlich, elf Kennzahlen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Neuer Aufwand: 84 Veranstaltungen × 20 Minuten</w:t>
            </w:r>
          </w:p>
        </w:tc>
        <w:tc>
          <w:tcPr>
            <w:tcW w:type="dxa" w:w="1474"/>
            <w:shd w:val="clear" w:color="auto" w:fill="F3EFE6"/>
          </w:tcPr>
          <w:p>
            <w:pPr>
              <w:spacing w:after="0" w:before="0"/>
            </w:pPr>
            <w:r/>
            <w:r>
              <w:rPr>
                <w:b w:val="0"/>
                <w:i w:val="0"/>
                <w:color w:val="1A1A1A"/>
                <w:sz w:val="18"/>
              </w:rPr>
              <w:t>28 Stunden</w:t>
            </w:r>
          </w:p>
        </w:tc>
        <w:tc>
          <w:tcPr>
            <w:tcW w:type="dxa" w:w="3175"/>
            <w:shd w:val="clear" w:color="auto" w:fill="F3EFE6"/>
          </w:tcPr>
          <w:p>
            <w:pPr>
              <w:spacing w:after="0" w:before="0"/>
            </w:pPr>
            <w:r/>
            <w:r>
              <w:rPr>
                <w:b w:val="0"/>
                <w:i w:val="0"/>
                <w:color w:val="1A1A1A"/>
                <w:sz w:val="18"/>
              </w:rPr>
              <w:t>jährlich, fünf Kennzahlen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Monatsauswertung: 12 × 2 Stunden</w:t>
            </w:r>
          </w:p>
        </w:tc>
        <w:tc>
          <w:tcPr>
            <w:tcW w:type="dxa" w:w="1474"/>
          </w:tcPr>
          <w:p>
            <w:pPr>
              <w:spacing w:after="0" w:before="0"/>
            </w:pPr>
            <w:r/>
            <w:r>
              <w:rPr>
                <w:b w:val="0"/>
                <w:i w:val="0"/>
                <w:color w:val="1A1A1A"/>
                <w:sz w:val="18"/>
              </w:rPr>
              <w:t>24 Stunden</w:t>
            </w:r>
          </w:p>
        </w:tc>
        <w:tc>
          <w:tcPr>
            <w:tcW w:type="dxa" w:w="3175"/>
          </w:tcPr>
          <w:p>
            <w:pPr>
              <w:spacing w:after="0" w:before="0"/>
            </w:pPr>
            <w:r/>
            <w:r>
              <w:rPr>
                <w:b w:val="0"/>
                <w:i w:val="0"/>
                <w:color w:val="1A1A1A"/>
                <w:sz w:val="18"/>
              </w:rPr>
              <w:t>jährlich, Direktorin, Küche, Technik</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Eigener Unterzähler für die Foyerlüftung</w:t>
            </w:r>
          </w:p>
        </w:tc>
        <w:tc>
          <w:tcPr>
            <w:tcW w:type="dxa" w:w="1474"/>
            <w:shd w:val="clear" w:color="auto" w:fill="F3EFE6"/>
          </w:tcPr>
          <w:p>
            <w:pPr>
              <w:spacing w:after="0" w:before="0"/>
            </w:pPr>
            <w:r/>
            <w:r>
              <w:rPr>
                <w:b w:val="0"/>
                <w:i w:val="0"/>
                <w:color w:val="1A1A1A"/>
                <w:sz w:val="18"/>
              </w:rPr>
              <w:t>€ 900</w:t>
            </w:r>
          </w:p>
        </w:tc>
        <w:tc>
          <w:tcPr>
            <w:tcW w:type="dxa" w:w="3175"/>
            <w:shd w:val="clear" w:color="auto" w:fill="F3EFE6"/>
          </w:tcPr>
          <w:p>
            <w:pPr>
              <w:spacing w:after="0" w:before="0"/>
            </w:pPr>
            <w:r/>
            <w:r>
              <w:rPr>
                <w:b w:val="0"/>
                <w:i w:val="0"/>
                <w:color w:val="1A1A1A"/>
                <w:sz w:val="18"/>
              </w:rPr>
              <w:t>einmalig, mit Einbau</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Prüfgewicht 10 kg, Kübel mit Leergewicht</w:t>
            </w:r>
          </w:p>
        </w:tc>
        <w:tc>
          <w:tcPr>
            <w:tcW w:type="dxa" w:w="1474"/>
          </w:tcPr>
          <w:p>
            <w:pPr>
              <w:spacing w:after="0" w:before="0"/>
            </w:pPr>
            <w:r/>
            <w:r>
              <w:rPr>
                <w:b w:val="0"/>
                <w:i w:val="0"/>
                <w:color w:val="1A1A1A"/>
                <w:sz w:val="18"/>
              </w:rPr>
              <w:t>€ 180</w:t>
            </w:r>
          </w:p>
        </w:tc>
        <w:tc>
          <w:tcPr>
            <w:tcW w:type="dxa" w:w="3175"/>
          </w:tcPr>
          <w:p>
            <w:pPr>
              <w:spacing w:after="0" w:before="0"/>
            </w:pPr>
            <w:r/>
            <w:r>
              <w:rPr>
                <w:b w:val="0"/>
                <w:i w:val="0"/>
                <w:color w:val="1A1A1A"/>
                <w:sz w:val="18"/>
              </w:rPr>
              <w:t>einmalig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Messplan und Geräteverzeichnis</w:t>
            </w:r>
          </w:p>
        </w:tc>
        <w:tc>
          <w:tcPr>
            <w:tcW w:type="dxa" w:w="1474"/>
            <w:shd w:val="clear" w:color="auto" w:fill="F3EFE6"/>
          </w:tcPr>
          <w:p>
            <w:pPr>
              <w:spacing w:after="0" w:before="0"/>
            </w:pPr>
            <w:r/>
            <w:r>
              <w:rPr>
                <w:b w:val="0"/>
                <w:i w:val="0"/>
                <w:color w:val="1A1A1A"/>
                <w:sz w:val="18"/>
              </w:rPr>
              <w:t>12 Stunden</w:t>
            </w:r>
          </w:p>
        </w:tc>
        <w:tc>
          <w:tcPr>
            <w:tcW w:type="dxa" w:w="3175"/>
            <w:shd w:val="clear" w:color="auto" w:fill="F3EFE6"/>
          </w:tcPr>
          <w:p>
            <w:pPr>
              <w:spacing w:after="0" w:before="0"/>
            </w:pPr>
            <w:r/>
            <w:r>
              <w:rPr>
                <w:b w:val="0"/>
                <w:i w:val="0"/>
                <w:color w:val="1A1A1A"/>
                <w:sz w:val="18"/>
              </w:rPr>
              <w:t>einmalig, Direktorin und Haustechniker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Faschingsball: 4 Kübel brutto 61 kg, Tara 4 × 2,4 kg</w:t>
            </w:r>
          </w:p>
        </w:tc>
        <w:tc>
          <w:tcPr>
            <w:tcW w:type="dxa" w:w="1474"/>
          </w:tcPr>
          <w:p>
            <w:pPr>
              <w:spacing w:after="0" w:before="0"/>
            </w:pPr>
            <w:r/>
            <w:r>
              <w:rPr>
                <w:b w:val="0"/>
                <w:i w:val="0"/>
                <w:color w:val="1A1A1A"/>
                <w:sz w:val="18"/>
              </w:rPr>
              <w:t>51,4 kg netto</w:t>
            </w:r>
          </w:p>
        </w:tc>
        <w:tc>
          <w:tcPr>
            <w:tcW w:type="dxa" w:w="3175"/>
          </w:tcPr>
          <w:p>
            <w:pPr>
              <w:spacing w:after="0" w:before="0"/>
            </w:pPr>
            <w:r/>
            <w:r>
              <w:rPr>
                <w:b w:val="0"/>
                <w:i w:val="0"/>
                <w:color w:val="1A1A1A"/>
                <w:sz w:val="18"/>
              </w:rPr>
              <w:t>171 statt 203 Gramm je Gast</w:t>
            </w:r>
          </w:p>
        </w:tc>
        <w:tc>
          <w:tcPr>
            <w:tcW w:type="dxa" w:w="1814"/>
          </w:tcPr>
          <w:p>
            <w:pPr>
              <w:spacing w:after="0" w:before="0"/>
            </w:pPr>
            <w:r/>
            <w:r>
              <w:rPr>
                <w:b w:val="0"/>
                <w:i w:val="0"/>
                <w:color w:val="1A1A1A"/>
                <w:sz w:val="18"/>
              </w:rPr>
            </w:r>
          </w:p>
        </w:tc>
      </w:tr>
    </w:tbl>
    <w:p>
      <w:pPr>
        <w:spacing w:after="40"/>
      </w:pPr>
    </w:p>
    <w:p>
      <w:r>
        <w:rPr>
          <w:b w:val="0"/>
          <w:i w:val="0"/>
        </w:rPr>
        <w:t>Die Rechnung zeigt, dass der bessere Plan weniger kostet als der alte, auch mit der Auswertung. Sie behauptet nicht, dass die neuen Zahlen besser ausfallen. Die Speisereste des Faschingsballs sind nach der neuen Methode niedriger, der Strom des Seminars auch. Andere Zahlen können steigen, sobald sie richtig gemessen werden.</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Was, welche Methode, wann messen, wann auswerten (9.1)</w:t>
            </w:r>
          </w:p>
        </w:tc>
        <w:tc>
          <w:tcPr>
            <w:tcW w:type="dxa" w:w="3175"/>
          </w:tcPr>
          <w:p>
            <w:pPr>
              <w:spacing w:after="0" w:before="0"/>
            </w:pPr>
            <w:r/>
            <w:r>
              <w:rPr>
                <w:b w:val="0"/>
                <w:i w:val="0"/>
                <w:color w:val="1A1A1A"/>
                <w:sz w:val="18"/>
              </w:rPr>
              <w:t>Messplan auf einer Seite</w:t>
            </w:r>
          </w:p>
        </w:tc>
        <w:tc>
          <w:tcPr>
            <w:tcW w:type="dxa" w:w="3175"/>
          </w:tcPr>
          <w:p>
            <w:pPr>
              <w:spacing w:after="0" w:before="0"/>
            </w:pPr>
            <w:r/>
            <w:r>
              <w:rPr>
                <w:b w:val="0"/>
                <w:i w:val="0"/>
                <w:color w:val="1A1A1A"/>
                <w:sz w:val="18"/>
              </w:rPr>
              <w:t>Methode: fünf Kennzahlen mit zuständiger Person</w:t>
            </w:r>
          </w:p>
        </w:tc>
      </w:tr>
      <w:tr>
        <w:trPr>
          <w:cantSplit w:val="true"/>
        </w:trPr>
        <w:tc>
          <w:tcPr>
            <w:tcW w:type="dxa" w:w="3288"/>
            <w:shd w:val="clear" w:color="auto" w:fill="F3EFE6"/>
          </w:tcPr>
          <w:p>
            <w:pPr>
              <w:spacing w:after="0" w:before="0"/>
            </w:pPr>
            <w:r/>
            <w:r>
              <w:rPr>
                <w:b w:val="0"/>
                <w:i w:val="0"/>
                <w:color w:val="1A1A1A"/>
                <w:sz w:val="18"/>
              </w:rPr>
              <w:t>Messgeräte kalibrieren und warten, wo nötig oder praktikabel (9.1)</w:t>
            </w:r>
          </w:p>
        </w:tc>
        <w:tc>
          <w:tcPr>
            <w:tcW w:type="dxa" w:w="3175"/>
            <w:shd w:val="clear" w:color="auto" w:fill="F3EFE6"/>
          </w:tcPr>
          <w:p>
            <w:pPr>
              <w:spacing w:after="0" w:before="0"/>
            </w:pPr>
            <w:r/>
            <w:r>
              <w:rPr>
                <w:b w:val="0"/>
                <w:i w:val="0"/>
                <w:color w:val="1A1A1A"/>
                <w:sz w:val="18"/>
              </w:rPr>
              <w:t>Geräteverzeichnis mit Grenzen; Protokoll des Prüfgewichts</w:t>
            </w:r>
          </w:p>
        </w:tc>
        <w:tc>
          <w:tcPr>
            <w:tcW w:type="dxa" w:w="3175"/>
            <w:shd w:val="clear" w:color="auto" w:fill="F3EFE6"/>
          </w:tcPr>
          <w:p>
            <w:pPr>
              <w:spacing w:after="0" w:before="0"/>
            </w:pPr>
            <w:r/>
            <w:r>
              <w:rPr>
                <w:b w:val="0"/>
                <w:i w:val="0"/>
                <w:color w:val="1A1A1A"/>
                <w:sz w:val="18"/>
              </w:rPr>
              <w:t>Methode: Prüfung am ersten Montag im Monat</w:t>
            </w:r>
          </w:p>
        </w:tc>
      </w:tr>
      <w:tr>
        <w:trPr>
          <w:cantSplit w:val="true"/>
        </w:trPr>
        <w:tc>
          <w:tcPr>
            <w:tcW w:type="dxa" w:w="3288"/>
          </w:tcPr>
          <w:p>
            <w:pPr>
              <w:spacing w:after="0" w:before="0"/>
            </w:pPr>
            <w:r/>
            <w:r>
              <w:rPr>
                <w:b w:val="0"/>
                <w:i w:val="0"/>
                <w:color w:val="1A1A1A"/>
                <w:sz w:val="18"/>
              </w:rPr>
              <w:t>Vorbeugungsmaßnahmen bei ungünstigem Trend (9.1 a)</w:t>
            </w:r>
          </w:p>
        </w:tc>
        <w:tc>
          <w:tcPr>
            <w:tcW w:type="dxa" w:w="3175"/>
          </w:tcPr>
          <w:p>
            <w:pPr>
              <w:spacing w:after="0" w:before="0"/>
            </w:pPr>
            <w:r/>
            <w:r>
              <w:rPr>
                <w:b w:val="0"/>
                <w:i w:val="0"/>
                <w:color w:val="1A1A1A"/>
                <w:sz w:val="18"/>
              </w:rPr>
              <w:t>Monatsauswertung mit Maßnahmenzeile</w:t>
            </w:r>
          </w:p>
        </w:tc>
        <w:tc>
          <w:tcPr>
            <w:tcW w:type="dxa" w:w="3175"/>
          </w:tcPr>
          <w:p>
            <w:pPr>
              <w:spacing w:after="0" w:before="0"/>
            </w:pPr>
            <w:r/>
            <w:r>
              <w:rPr>
                <w:b w:val="0"/>
                <w:i w:val="0"/>
                <w:color w:val="1A1A1A"/>
                <w:sz w:val="18"/>
              </w:rPr>
              <w:t>Methode: Zwei-Monats-Regel</w:t>
            </w:r>
          </w:p>
        </w:tc>
      </w:tr>
      <w:tr>
        <w:trPr>
          <w:cantSplit w:val="true"/>
        </w:trPr>
        <w:tc>
          <w:tcPr>
            <w:tcW w:type="dxa" w:w="3288"/>
            <w:shd w:val="clear" w:color="auto" w:fill="F3EFE6"/>
          </w:tcPr>
          <w:p>
            <w:pPr>
              <w:spacing w:after="0" w:before="0"/>
            </w:pPr>
            <w:r/>
            <w:r>
              <w:rPr>
                <w:b w:val="0"/>
                <w:i w:val="0"/>
                <w:color w:val="1A1A1A"/>
                <w:sz w:val="18"/>
              </w:rPr>
              <w:t>Dokumentierte Information zu Leistung, Steuerungen, Zielen, Rechtskonformität (9.1 b)</w:t>
            </w:r>
          </w:p>
        </w:tc>
        <w:tc>
          <w:tcPr>
            <w:tcW w:type="dxa" w:w="3175"/>
            <w:shd w:val="clear" w:color="auto" w:fill="F3EFE6"/>
          </w:tcPr>
          <w:p>
            <w:pPr>
              <w:spacing w:after="0" w:before="0"/>
            </w:pPr>
            <w:r/>
            <w:r>
              <w:rPr>
                <w:b w:val="0"/>
                <w:i w:val="0"/>
                <w:color w:val="1A1A1A"/>
                <w:sz w:val="18"/>
              </w:rPr>
              <w:t>Messblatt je Veranstaltung, Monatsblatt, Wiegescheine</w:t>
            </w:r>
          </w:p>
        </w:tc>
        <w:tc>
          <w:tcPr>
            <w:tcW w:type="dxa" w:w="3175"/>
            <w:shd w:val="clear" w:color="auto" w:fill="F3EFE6"/>
          </w:tcPr>
          <w:p>
            <w:pPr>
              <w:spacing w:after="0" w:before="0"/>
            </w:pPr>
            <w:r/>
            <w:r>
              <w:rPr>
                <w:b w:val="0"/>
                <w:i w:val="0"/>
                <w:color w:val="1A1A1A"/>
                <w:sz w:val="18"/>
              </w:rPr>
              <w:t>A.20: Basiswerte</w:t>
            </w:r>
          </w:p>
        </w:tc>
      </w:tr>
      <w:tr>
        <w:trPr>
          <w:cantSplit w:val="true"/>
        </w:trPr>
        <w:tc>
          <w:tcPr>
            <w:tcW w:type="dxa" w:w="3288"/>
          </w:tcPr>
          <w:p>
            <w:pPr>
              <w:spacing w:after="0" w:before="0"/>
            </w:pPr>
            <w:r/>
            <w:r>
              <w:rPr>
                <w:b w:val="0"/>
                <w:i w:val="0"/>
                <w:color w:val="1A1A1A"/>
                <w:sz w:val="18"/>
              </w:rPr>
              <w:t>Lehren aus jeder Veranstaltung ermitteln und einspeisen (9.1 c)</w:t>
            </w:r>
          </w:p>
        </w:tc>
        <w:tc>
          <w:tcPr>
            <w:tcW w:type="dxa" w:w="3175"/>
          </w:tcPr>
          <w:p>
            <w:pPr>
              <w:spacing w:after="0" w:before="0"/>
            </w:pPr>
            <w:r/>
            <w:r>
              <w:rPr>
                <w:b w:val="0"/>
                <w:i w:val="0"/>
                <w:color w:val="1A1A1A"/>
                <w:sz w:val="18"/>
              </w:rPr>
              <w:t>Zeile in der Nachbesprechung, geänderter Ablauf</w:t>
            </w:r>
          </w:p>
        </w:tc>
        <w:tc>
          <w:tcPr>
            <w:tcW w:type="dxa" w:w="3175"/>
          </w:tcPr>
          <w:p>
            <w:pPr>
              <w:spacing w:after="0" w:before="0"/>
            </w:pPr>
            <w:r/>
            <w:r>
              <w:rPr>
                <w:b w:val="0"/>
                <w:i w:val="0"/>
                <w:color w:val="1A1A1A"/>
                <w:sz w:val="18"/>
              </w:rPr>
              <w:t>Zugänglichkeit für Parteien als Soll; Bericht nach C.3</w:t>
            </w:r>
          </w:p>
        </w:tc>
      </w:tr>
    </w:tbl>
    <w:p>
      <w:pPr>
        <w:spacing w:after="40"/>
      </w:pPr>
    </w:p>
    <w:p>
      <w:pPr>
        <w:pStyle w:val="Heading2"/>
      </w:pPr>
      <w:r>
        <w:t>DACH-Anker: Messgeräte, Aufzeichnungen und Zahlen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Geeichte Messgeräte</w:t>
            </w:r>
          </w:p>
        </w:tc>
        <w:tc>
          <w:tcPr>
            <w:tcW w:type="dxa" w:w="2721"/>
          </w:tcPr>
          <w:p>
            <w:pPr>
              <w:spacing w:after="0" w:before="0"/>
            </w:pPr>
            <w:r/>
            <w:r>
              <w:rPr>
                <w:b w:val="0"/>
                <w:i w:val="0"/>
                <w:color w:val="1A1A1A"/>
                <w:sz w:val="17"/>
              </w:rPr>
              <w:t>im geschäftlichen oder amtlichen Verkehr (§ 1 Abs. 2 MessEV); nicht ungeeicht verwenden (§ 31 Abs. 2 MessEG)</w:t>
            </w:r>
          </w:p>
        </w:tc>
        <w:tc>
          <w:tcPr>
            <w:tcW w:type="dxa" w:w="2721"/>
          </w:tcPr>
          <w:p>
            <w:pPr>
              <w:spacing w:after="0" w:before="0"/>
            </w:pPr>
            <w:r/>
            <w:r>
              <w:rPr>
                <w:b w:val="0"/>
                <w:i w:val="0"/>
                <w:color w:val="1A1A1A"/>
                <w:sz w:val="17"/>
              </w:rPr>
              <w:t>im amtlichen oder rechtsgeschäftlichen Verkehr; Waagen auch zur Bestimmung eines Entgelts (§ 8 MEG)</w:t>
            </w:r>
          </w:p>
        </w:tc>
        <w:tc>
          <w:tcPr>
            <w:tcW w:type="dxa" w:w="2721"/>
          </w:tcPr>
          <w:p>
            <w:pPr>
              <w:spacing w:after="0" w:before="0"/>
            </w:pPr>
            <w:r/>
            <w:r>
              <w:rPr>
                <w:b w:val="0"/>
                <w:i w:val="0"/>
                <w:color w:val="1A1A1A"/>
                <w:sz w:val="17"/>
              </w:rPr>
              <w:t>regelmäßige Prüfung der Messbeständigkeit, Vollzug durch die Kantone (Art. 9 und 16 MessG)</w:t>
            </w:r>
          </w:p>
        </w:tc>
      </w:tr>
      <w:tr>
        <w:trPr>
          <w:cantSplit w:val="true"/>
        </w:trPr>
        <w:tc>
          <w:tcPr>
            <w:tcW w:type="dxa" w:w="1474"/>
            <w:shd w:val="clear" w:color="auto" w:fill="F3EFE6"/>
          </w:tcPr>
          <w:p>
            <w:pPr>
              <w:spacing w:after="0" w:before="0"/>
            </w:pPr>
            <w:r/>
            <w:r>
              <w:rPr>
                <w:b w:val="0"/>
                <w:i w:val="0"/>
                <w:color w:val="1A1A1A"/>
                <w:sz w:val="17"/>
              </w:rPr>
              <w:t>Aufzeichnungen über Abfälle</w:t>
            </w:r>
          </w:p>
        </w:tc>
        <w:tc>
          <w:tcPr>
            <w:tcW w:type="dxa" w:w="2721"/>
            <w:shd w:val="clear" w:color="auto" w:fill="F3EFE6"/>
          </w:tcPr>
          <w:p>
            <w:pPr>
              <w:spacing w:after="0" w:before="0"/>
            </w:pPr>
            <w:r/>
            <w:r>
              <w:rPr>
                <w:b w:val="0"/>
                <w:i w:val="0"/>
                <w:color w:val="1A1A1A"/>
                <w:sz w:val="17"/>
              </w:rPr>
              <w:t>Getrennthaltung dokumentieren, etwa mit Lichtbildern und Wiegescheinen (§ 3 Abs. 3 GewAbfV)</w:t>
            </w:r>
          </w:p>
        </w:tc>
        <w:tc>
          <w:tcPr>
            <w:tcW w:type="dxa" w:w="2721"/>
            <w:shd w:val="clear" w:color="auto" w:fill="F3EFE6"/>
          </w:tcPr>
          <w:p>
            <w:pPr>
              <w:spacing w:after="0" w:before="0"/>
            </w:pPr>
            <w:r/>
            <w:r>
              <w:rPr>
                <w:b w:val="0"/>
                <w:i w:val="0"/>
                <w:color w:val="1A1A1A"/>
                <w:sz w:val="17"/>
              </w:rPr>
              <w:t>Art, Menge, Herkunft, Verbleib; sieben Jahre aufbewahren (§ 17 AWG 2002)</w:t>
            </w:r>
          </w:p>
        </w:tc>
        <w:tc>
          <w:tcPr>
            <w:tcW w:type="dxa" w:w="2721"/>
            <w:shd w:val="clear" w:color="auto" w:fill="F3EFE6"/>
          </w:tcPr>
          <w:p>
            <w:pPr>
              <w:spacing w:after="0" w:before="0"/>
            </w:pPr>
            <w:r/>
            <w:r>
              <w:rPr>
                <w:b w:val="0"/>
                <w:i w:val="0"/>
                <w:color w:val="1A1A1A"/>
                <w:sz w:val="17"/>
              </w:rPr>
              <w:t>Vorgaben von Kanton und Gemeinde</w:t>
            </w:r>
          </w:p>
        </w:tc>
      </w:tr>
      <w:tr>
        <w:trPr>
          <w:cantSplit w:val="true"/>
        </w:trPr>
        <w:tc>
          <w:tcPr>
            <w:tcW w:type="dxa" w:w="1474"/>
          </w:tcPr>
          <w:p>
            <w:pPr>
              <w:spacing w:after="0" w:before="0"/>
            </w:pPr>
            <w:r/>
            <w:r>
              <w:rPr>
                <w:b w:val="0"/>
                <w:i w:val="0"/>
                <w:color w:val="1A1A1A"/>
                <w:sz w:val="17"/>
              </w:rPr>
              <w:t>Barrierefreiheit</w:t>
            </w:r>
          </w:p>
        </w:tc>
        <w:tc>
          <w:tcPr>
            <w:tcW w:type="dxa" w:w="2721"/>
          </w:tcPr>
          <w:p>
            <w:pPr>
              <w:spacing w:after="0" w:before="0"/>
            </w:pPr>
            <w:r/>
            <w:r>
              <w:rPr>
                <w:b w:val="0"/>
                <w:i w:val="0"/>
                <w:color w:val="1A1A1A"/>
                <w:sz w:val="17"/>
              </w:rPr>
              <w:t>Online-Buchung (§ 1 Abs. 3 Nr. 5 BFSG)</w:t>
            </w:r>
          </w:p>
        </w:tc>
        <w:tc>
          <w:tcPr>
            <w:tcW w:type="dxa" w:w="2721"/>
          </w:tcPr>
          <w:p>
            <w:pPr>
              <w:spacing w:after="0" w:before="0"/>
            </w:pPr>
            <w:r/>
            <w:r>
              <w:rPr>
                <w:b w:val="0"/>
                <w:i w:val="0"/>
                <w:color w:val="1A1A1A"/>
                <w:sz w:val="17"/>
              </w:rPr>
              <w:t>Online-Buchung (BaFG, 1.12); Benachteiligung bei Gütern und Dienstleistungen (BGStG)</w:t>
            </w:r>
          </w:p>
        </w:tc>
        <w:tc>
          <w:tcPr>
            <w:tcW w:type="dxa" w:w="2721"/>
          </w:tcPr>
          <w:p>
            <w:pPr>
              <w:spacing w:after="0" w:before="0"/>
            </w:pPr>
            <w:r/>
            <w:r>
              <w:rPr>
                <w:b w:val="0"/>
                <w:i w:val="0"/>
                <w:color w:val="1A1A1A"/>
                <w:sz w:val="17"/>
              </w:rPr>
              <w:t>keine Diskriminierung bei öffentlich angebotenen Dienstleistungen (Art. 6 BehiG, 1.10)</w:t>
            </w:r>
          </w:p>
        </w:tc>
      </w:tr>
      <w:tr>
        <w:trPr>
          <w:cantSplit w:val="true"/>
        </w:trPr>
        <w:tc>
          <w:tcPr>
            <w:tcW w:type="dxa" w:w="1474"/>
            <w:shd w:val="clear" w:color="auto" w:fill="F3EFE6"/>
          </w:tcPr>
          <w:p>
            <w:pPr>
              <w:spacing w:after="0" w:before="0"/>
            </w:pPr>
            <w:r/>
            <w:r>
              <w:rPr>
                <w:b w:val="0"/>
                <w:i w:val="0"/>
                <w:color w:val="1A1A1A"/>
                <w:sz w:val="17"/>
              </w:rPr>
              <w:t>Zahlen in Aussagen und Berichten</w:t>
            </w:r>
          </w:p>
        </w:tc>
        <w:tc>
          <w:tcPr>
            <w:tcW w:type="dxa" w:w="2721"/>
            <w:shd w:val="clear" w:color="auto" w:fill="F3EFE6"/>
          </w:tcPr>
          <w:p>
            <w:pPr>
              <w:spacing w:after="0" w:before="0"/>
            </w:pPr>
            <w:r/>
            <w:r>
              <w:rPr>
                <w:b w:val="0"/>
                <w:i w:val="0"/>
                <w:color w:val="1A1A1A"/>
                <w:sz w:val="17"/>
              </w:rPr>
              <w:t>UWG, Regeln zu Umweltaussagen gegenüber Verbrauchern ab 27. September 2026</w:t>
            </w:r>
          </w:p>
        </w:tc>
        <w:tc>
          <w:tcPr>
            <w:tcW w:type="dxa" w:w="2721"/>
            <w:shd w:val="clear" w:color="auto" w:fill="F3EFE6"/>
          </w:tcPr>
          <w:p>
            <w:pPr>
              <w:spacing w:after="0" w:before="0"/>
            </w:pPr>
            <w:r/>
            <w:r>
              <w:rPr>
                <w:b w:val="0"/>
                <w:i w:val="0"/>
                <w:color w:val="1A1A1A"/>
                <w:sz w:val="17"/>
              </w:rPr>
              <w:t>UWG-Novelle BGBl. I Nr. 58/2026, gegenüber Verbrauchern</w:t>
            </w:r>
          </w:p>
        </w:tc>
        <w:tc>
          <w:tcPr>
            <w:tcW w:type="dxa" w:w="2721"/>
            <w:shd w:val="clear" w:color="auto" w:fill="F3EFE6"/>
          </w:tcPr>
          <w:p>
            <w:pPr>
              <w:spacing w:after="0" w:before="0"/>
            </w:pPr>
            <w:r/>
            <w:r>
              <w:rPr>
                <w:b w:val="0"/>
                <w:i w:val="0"/>
                <w:color w:val="1A1A1A"/>
                <w:sz w:val="17"/>
              </w:rPr>
              <w:t>Klimaaussagen nur mit überprüfbaren Grundlagen (Art. 3 Abs. 1 lit. x UWG)</w:t>
            </w:r>
          </w:p>
        </w:tc>
      </w:tr>
      <w:tr>
        <w:trPr>
          <w:cantSplit w:val="true"/>
        </w:trPr>
        <w:tc>
          <w:tcPr>
            <w:tcW w:type="dxa" w:w="1474"/>
          </w:tcPr>
          <w:p>
            <w:pPr>
              <w:spacing w:after="0" w:before="0"/>
            </w:pPr>
            <w:r/>
            <w:r>
              <w:rPr>
                <w:b w:val="0"/>
                <w:i w:val="0"/>
                <w:color w:val="1A1A1A"/>
                <w:sz w:val="17"/>
              </w:rPr>
              <w:t>Lebensmittelabfälle</w:t>
            </w:r>
          </w:p>
        </w:tc>
        <w:tc>
          <w:tcPr>
            <w:tcW w:type="dxa" w:w="2721"/>
          </w:tcPr>
          <w:p>
            <w:pPr>
              <w:spacing w:after="0" w:before="0"/>
            </w:pPr>
            <w:r/>
            <w:r>
              <w:rPr>
                <w:b w:val="0"/>
                <w:i w:val="0"/>
                <w:color w:val="1A1A1A"/>
                <w:sz w:val="17"/>
              </w:rPr>
              <w:t>Ziel der Union bis Ende 2030, Umsetzung bis Juni 2027 (1.6)</w:t>
            </w:r>
          </w:p>
        </w:tc>
        <w:tc>
          <w:tcPr>
            <w:tcW w:type="dxa" w:w="2721"/>
          </w:tcPr>
          <w:p>
            <w:pPr>
              <w:spacing w:after="0" w:before="0"/>
            </w:pPr>
            <w:r/>
            <w:r>
              <w:rPr>
                <w:b w:val="0"/>
                <w:i w:val="0"/>
                <w:color w:val="1A1A1A"/>
                <w:sz w:val="17"/>
              </w:rPr>
              <w:t>ebenso (1.6)</w:t>
            </w:r>
          </w:p>
        </w:tc>
        <w:tc>
          <w:tcPr>
            <w:tcW w:type="dxa" w:w="2721"/>
          </w:tcPr>
          <w:p>
            <w:pPr>
              <w:spacing w:after="0" w:before="0"/>
            </w:pPr>
            <w:r/>
            <w:r>
              <w:rPr>
                <w:b w:val="0"/>
                <w:i w:val="0"/>
                <w:color w:val="1A1A1A"/>
                <w:sz w:val="17"/>
              </w:rPr>
              <w:t>Aktionsplan des Bundesrats (1.6)</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2.11.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2.11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2.11 — Einen Messplan aufstellen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