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2.12</w:t>
      </w:r>
    </w:p>
    <w:p>
      <w:pPr>
        <w:pStyle w:val="Heading1"/>
      </w:pPr>
      <w:r>
        <w:t>Eine Nichtkonformität bearbeiten</w:t>
      </w:r>
    </w:p>
    <w:p>
      <w:pPr>
        <w:spacing w:after="0"/>
      </w:pPr>
      <w:r>
        <w:rPr>
          <w:b w:val="0"/>
          <w:i/>
          <w:color w:val="5A5A5A"/>
        </w:rPr>
        <w:t>Abschnitt 2.12 · Nichtkonformitäten und Korrekturmaßnahmen</w:t>
      </w:r>
    </w:p>
    <w:p>
      <w:pPr>
        <w:spacing w:after="160"/>
      </w:pPr>
      <w:r>
        <w:rPr>
          <w:b w:val="0"/>
          <w:i w:val="0"/>
          <w:color w:val="5A5A5A"/>
          <w:sz w:val="18"/>
        </w:rPr>
        <w:t>Modellfall im Buch: Trier</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nach einem Fest in Ihrem Haus etwas anders gelaufen ist als festgelegt: Fragt man bei Ihnen zuerst, wer es war, oder zuerst, warum es so kommen konnte? Und woran würden Sie in drei Monaten erkennen, dass es nicht wieder geschieht?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Korrektur, Korrekturmaßnahme, Vorbeugungsmaßnahme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Art</w:t>
            </w:r>
          </w:p>
        </w:tc>
        <w:tc>
          <w:tcPr>
            <w:tcW w:type="dxa" w:w="3213"/>
            <w:shd w:val="clear" w:color="auto" w:fill="8C5A2B"/>
          </w:tcPr>
          <w:p>
            <w:pPr>
              <w:spacing w:after="0" w:before="0"/>
            </w:pPr>
            <w:r/>
            <w:r>
              <w:rPr>
                <w:b/>
                <w:i w:val="0"/>
                <w:color w:val="FFFFFF"/>
                <w:sz w:val="18"/>
              </w:rPr>
              <w:t>Was sie tut</w:t>
            </w:r>
          </w:p>
        </w:tc>
        <w:tc>
          <w:tcPr>
            <w:tcW w:type="dxa" w:w="3213"/>
            <w:shd w:val="clear" w:color="auto" w:fill="8C5A2B"/>
          </w:tcPr>
          <w:p>
            <w:pPr>
              <w:spacing w:after="0" w:before="0"/>
            </w:pPr>
            <w:r/>
            <w:r>
              <w:rPr>
                <w:b/>
                <w:i w:val="0"/>
                <w:color w:val="FFFFFF"/>
                <w:sz w:val="18"/>
              </w:rPr>
              <w:t>Beispiel in Trier</w:t>
            </w:r>
          </w:p>
        </w:tc>
      </w:tr>
      <w:tr>
        <w:trPr>
          <w:cantSplit w:val="true"/>
        </w:trPr>
        <w:tc>
          <w:tcPr>
            <w:tcW w:type="dxa" w:w="3213"/>
          </w:tcPr>
          <w:p>
            <w:pPr>
              <w:spacing w:after="0" w:before="0"/>
            </w:pPr>
            <w:r/>
            <w:r>
              <w:rPr>
                <w:b w:val="0"/>
                <w:i w:val="0"/>
                <w:color w:val="1A1A1A"/>
                <w:sz w:val="18"/>
              </w:rPr>
              <w:t>Korrektur</w:t>
            </w:r>
          </w:p>
        </w:tc>
        <w:tc>
          <w:tcPr>
            <w:tcW w:type="dxa" w:w="3213"/>
          </w:tcPr>
          <w:p>
            <w:pPr>
              <w:spacing w:after="0" w:before="0"/>
            </w:pPr>
            <w:r/>
            <w:r>
              <w:rPr>
                <w:b w:val="0"/>
                <w:i w:val="0"/>
                <w:color w:val="1A1A1A"/>
                <w:sz w:val="18"/>
              </w:rPr>
              <w:t>behebt die Folge der Abweichung</w:t>
            </w:r>
          </w:p>
        </w:tc>
        <w:tc>
          <w:tcPr>
            <w:tcW w:type="dxa" w:w="3213"/>
          </w:tcPr>
          <w:p>
            <w:pPr>
              <w:spacing w:after="0" w:before="0"/>
            </w:pPr>
            <w:r/>
            <w:r>
              <w:rPr>
                <w:b w:val="0"/>
                <w:i w:val="0"/>
                <w:color w:val="1A1A1A"/>
                <w:sz w:val="18"/>
              </w:rPr>
              <w:t>Biotonne als Restmüll leeren; Paar informieren</w:t>
            </w:r>
          </w:p>
        </w:tc>
      </w:tr>
      <w:tr>
        <w:trPr>
          <w:cantSplit w:val="true"/>
        </w:trPr>
        <w:tc>
          <w:tcPr>
            <w:tcW w:type="dxa" w:w="3213"/>
            <w:shd w:val="clear" w:color="auto" w:fill="F3EFE6"/>
          </w:tcPr>
          <w:p>
            <w:pPr>
              <w:spacing w:after="0" w:before="0"/>
            </w:pPr>
            <w:r/>
            <w:r>
              <w:rPr>
                <w:b w:val="0"/>
                <w:i w:val="0"/>
                <w:color w:val="1A1A1A"/>
                <w:sz w:val="18"/>
              </w:rPr>
              <w:t>Korrekturmaßnahme</w:t>
            </w:r>
          </w:p>
        </w:tc>
        <w:tc>
          <w:tcPr>
            <w:tcW w:type="dxa" w:w="3213"/>
            <w:shd w:val="clear" w:color="auto" w:fill="F3EFE6"/>
          </w:tcPr>
          <w:p>
            <w:pPr>
              <w:spacing w:after="0" w:before="0"/>
            </w:pPr>
            <w:r/>
            <w:r>
              <w:rPr>
                <w:b w:val="0"/>
                <w:i w:val="0"/>
                <w:color w:val="1A1A1A"/>
                <w:sz w:val="18"/>
              </w:rPr>
              <w:t>beseitigt die Ursache, damit es nicht wieder geschieht</w:t>
            </w:r>
          </w:p>
        </w:tc>
        <w:tc>
          <w:tcPr>
            <w:tcW w:type="dxa" w:w="3213"/>
            <w:shd w:val="clear" w:color="auto" w:fill="F3EFE6"/>
          </w:tcPr>
          <w:p>
            <w:pPr>
              <w:spacing w:after="0" w:before="0"/>
            </w:pPr>
            <w:r/>
            <w:r>
              <w:rPr>
                <w:b w:val="0"/>
                <w:i w:val="0"/>
                <w:color w:val="1A1A1A"/>
                <w:sz w:val="18"/>
              </w:rPr>
              <w:t>Spülkraft bis Ende der Mitternachtsbar; Einweg aus dem Lager entfernt; Einweisung mit Vertretung für alle Bankette mit Agenturkräften</w:t>
            </w:r>
          </w:p>
        </w:tc>
      </w:tr>
      <w:tr>
        <w:trPr>
          <w:cantSplit w:val="true"/>
        </w:trPr>
        <w:tc>
          <w:tcPr>
            <w:tcW w:type="dxa" w:w="3213"/>
          </w:tcPr>
          <w:p>
            <w:pPr>
              <w:spacing w:after="0" w:before="0"/>
            </w:pPr>
            <w:r/>
            <w:r>
              <w:rPr>
                <w:b w:val="0"/>
                <w:i w:val="0"/>
                <w:color w:val="1A1A1A"/>
                <w:sz w:val="18"/>
              </w:rPr>
              <w:t>Vorbeugungsmaßnahme</w:t>
            </w:r>
          </w:p>
        </w:tc>
        <w:tc>
          <w:tcPr>
            <w:tcW w:type="dxa" w:w="3213"/>
          </w:tcPr>
          <w:p>
            <w:pPr>
              <w:spacing w:after="0" w:before="0"/>
            </w:pPr>
            <w:r/>
            <w:r>
              <w:rPr>
                <w:b w:val="0"/>
                <w:i w:val="0"/>
                <w:color w:val="1A1A1A"/>
                <w:sz w:val="18"/>
              </w:rPr>
              <w:t>wirkt dort, wo es noch nicht geschehen ist</w:t>
            </w:r>
          </w:p>
        </w:tc>
        <w:tc>
          <w:tcPr>
            <w:tcW w:type="dxa" w:w="3213"/>
          </w:tcPr>
          <w:p>
            <w:pPr>
              <w:spacing w:after="0" w:before="0"/>
            </w:pPr>
            <w:r/>
            <w:r>
              <w:rPr>
                <w:b w:val="0"/>
                <w:i w:val="0"/>
                <w:color w:val="1A1A1A"/>
                <w:sz w:val="18"/>
              </w:rPr>
              <w:t>Spülplan und Mehrwegvorrat bei jeder neu dazugebuchten Ausschankstelle prüfen</w:t>
            </w:r>
          </w:p>
        </w:tc>
      </w:tr>
    </w:tbl>
    <w:p>
      <w:pPr>
        <w:spacing w:after="40"/>
      </w:pPr>
    </w:p>
    <w:p>
      <w:pPr>
        <w:pStyle w:val="Heading2"/>
      </w:pPr>
      <w:r>
        <w:t>Praktische Anwendung: eine Nichtkonformität in sieben Schritten bearbeiten</w:t>
      </w:r>
    </w:p>
    <w:p>
      <w:pPr>
        <w:tabs>
          <w:tab w:pos="340" w:val="left"/>
        </w:tabs>
        <w:ind w:left="340" w:hanging="340"/>
      </w:pPr>
      <w:r>
        <w:rPr>
          <w:b/>
          <w:color w:val="8C5A2B"/>
        </w:rPr>
        <w:t>1.</w:t>
        <w:tab/>
      </w:r>
      <w:r>
        <w:rPr>
          <w:b/>
        </w:rPr>
        <w:t>Am Tag des Befunds ein Blatt eröffnen.</w:t>
      </w:r>
      <w:r>
        <w:t xml:space="preserve"> Nummer, Datum, Befund, Fotos, wer gemeldet hat. Wer meldet, erfährt, was aus seiner Meldung wird.</w:t>
      </w:r>
    </w:p>
    <w:p>
      <w:pPr>
        <w:tabs>
          <w:tab w:pos="340" w:val="left"/>
        </w:tabs>
        <w:ind w:left="340" w:hanging="340"/>
      </w:pPr>
      <w:r>
        <w:rPr>
          <w:b/>
          <w:color w:val="8C5A2B"/>
        </w:rPr>
        <w:t>2.</w:t>
        <w:tab/>
      </w:r>
      <w:r>
        <w:rPr>
          <w:b/>
        </w:rPr>
        <w:t>Korrigieren und die Folgen klären.</w:t>
      </w:r>
      <w:r>
        <w:t xml:space="preserve"> Was ist sofort zu beheben, und wen betrifft die Abweichung außerhalb des Hauses: Gast, Kunde, Entsorger, Nachbarn? Wo eine Aussage nicht gestimmt hat, wird sie richtiggestellt.</w:t>
      </w:r>
    </w:p>
    <w:p>
      <w:pPr>
        <w:tabs>
          <w:tab w:pos="340" w:val="left"/>
        </w:tabs>
        <w:ind w:left="340" w:hanging="340"/>
      </w:pPr>
      <w:r>
        <w:rPr>
          <w:b/>
          <w:color w:val="8C5A2B"/>
        </w:rPr>
        <w:t>3.</w:t>
        <w:tab/>
      </w:r>
      <w:r>
        <w:rPr>
          <w:b/>
        </w:rPr>
        <w:t>Die Ursache im Ablauf suchen.</w:t>
      </w:r>
      <w:r>
        <w:t xml:space="preserve"> Für jeden Befund fragen: Hätte ein anderer an derselben Stelle anders gehandelt? Lautet die Antwort nein, liegt die Ursache im Ablauf, im Material oder in der Zeit.</w:t>
      </w:r>
    </w:p>
    <w:p>
      <w:pPr>
        <w:tabs>
          <w:tab w:pos="340" w:val="left"/>
        </w:tabs>
        <w:ind w:left="340" w:hanging="340"/>
      </w:pPr>
      <w:r>
        <w:rPr>
          <w:b/>
          <w:color w:val="8C5A2B"/>
        </w:rPr>
        <w:t>4.</w:t>
        <w:tab/>
      </w:r>
      <w:r>
        <w:rPr>
          <w:b/>
        </w:rPr>
        <w:t>Ähnliche Fälle suchen.</w:t>
      </w:r>
      <w:r>
        <w:t xml:space="preserve"> Wo im Haus gibt es dieselbe Lücke? Die Liste der kommenden Veranstaltungen wird danach durchgesehen.</w:t>
      </w:r>
    </w:p>
    <w:p>
      <w:pPr>
        <w:tabs>
          <w:tab w:pos="340" w:val="left"/>
        </w:tabs>
        <w:ind w:left="340" w:hanging="340"/>
      </w:pPr>
      <w:r>
        <w:rPr>
          <w:b/>
          <w:color w:val="8C5A2B"/>
        </w:rPr>
        <w:t>5.</w:t>
        <w:tab/>
      </w:r>
      <w:r>
        <w:rPr>
          <w:b/>
        </w:rPr>
        <w:t>Korrekturmaßnahmen festlegen.</w:t>
      </w:r>
      <w:r>
        <w:t xml:space="preserve"> Jede mit einer verantwortlichen Person und einem Termin. Die Maßnahme richtet sich gegen die Ursache, nicht gegen die Person.</w:t>
      </w:r>
    </w:p>
    <w:p>
      <w:pPr>
        <w:tabs>
          <w:tab w:pos="340" w:val="left"/>
        </w:tabs>
        <w:ind w:left="340" w:hanging="340"/>
      </w:pPr>
      <w:r>
        <w:rPr>
          <w:b/>
          <w:color w:val="8C5A2B"/>
        </w:rPr>
        <w:t>6.</w:t>
        <w:tab/>
      </w:r>
      <w:r>
        <w:rPr>
          <w:b/>
        </w:rPr>
        <w:t>Die Wirksamkeit nach mehreren Festen prüfen.</w:t>
      </w:r>
      <w:r>
        <w:t xml:space="preserve"> Vorher festlegen, woran man sie erkennt: Fotos, Wiegescheine, Rundgang. Wirkt sie nicht, bleibt der Vorgang offen und die Ursache wird neu gesucht.</w:t>
      </w:r>
    </w:p>
    <w:p>
      <w:pPr>
        <w:tabs>
          <w:tab w:pos="340" w:val="left"/>
        </w:tabs>
        <w:ind w:left="340" w:hanging="340"/>
      </w:pPr>
      <w:r>
        <w:rPr>
          <w:b/>
          <w:color w:val="8C5A2B"/>
        </w:rPr>
        <w:t>7.</w:t>
        <w:tab/>
      </w:r>
      <w:r>
        <w:rPr>
          <w:b/>
        </w:rPr>
        <w:t>Das System ändern und den Vorgang weitergeben.</w:t>
      </w:r>
      <w:r>
        <w:t xml:space="preserve"> Formular, Ablaufplan, Vertrag werden geplant geändert. Das Blatt geht in das Register und mit den anderen Vorgängen an die Managementbewertung.</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Am Tag des Befunds ein Blatt eröffnen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Korrigieren und die Folgen klären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Ursache im Ablauf suchen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Ähnliche Fälle suchen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Korrekturmaßnahmen festlegen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Wirksamkeit nach mehreren Festen prüfen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Das System ändern und den Vorgang weitergeben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Wird eine Abweichung von unseren eigenen Festlegungen als Nichtkonformität erfasst?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Unterscheiden wir auf dem Blatt zwischen Korrektur und Korrekturmaßnahme?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Klären wir die Folgen für Gäste und Kunden, auch für Aussagen, die nicht gestimmt haben?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Suchen wir die Ursache im Ablauf, bevor wir über Personen reden?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Prüfen wir, wo im Haus dieselbe Lücke noch besteht?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 Maßnahme eine verantwortliche Person und einen Termin?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Prüfen wir die Wirksamkeit nach mehreren Veranstaltungen, bevor wir schließen?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Erfährt der, der eine Abweichung gemeldet hat, was daraus geworden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Den Schuldigen suchen.</w:t>
      </w:r>
      <w:r>
        <w:t xml:space="preserve"> Er ist schnell gefunden, und der Nächste steht an derselben Stelle.</w:t>
      </w:r>
    </w:p>
    <w:p>
      <w:pPr>
        <w:tabs>
          <w:tab w:pos="340" w:val="left"/>
        </w:tabs>
        <w:ind w:left="340" w:hanging="340"/>
      </w:pPr>
      <w:r>
        <w:rPr>
          <w:color w:val="8C5A2B"/>
        </w:rPr>
        <w:t>–</w:t>
        <w:tab/>
      </w:r>
      <w:r>
        <w:rPr>
          <w:b/>
        </w:rPr>
        <w:t>Nach der Korrektur aufhören.</w:t>
      </w:r>
      <w:r>
        <w:t xml:space="preserve"> Die Tonne ist geleert, und nach dem nächsten Fest ist sie wieder falsch befüllt.</w:t>
      </w:r>
    </w:p>
    <w:p>
      <w:pPr>
        <w:tabs>
          <w:tab w:pos="340" w:val="left"/>
        </w:tabs>
        <w:ind w:left="340" w:hanging="340"/>
      </w:pPr>
      <w:r>
        <w:rPr>
          <w:color w:val="8C5A2B"/>
        </w:rPr>
        <w:t>–</w:t>
        <w:tab/>
      </w:r>
      <w:r>
        <w:rPr>
          <w:b/>
        </w:rPr>
        <w:t>Drei Befunde als drei Pannen behandeln.</w:t>
      </w:r>
      <w:r>
        <w:t xml:space="preserve"> Oft haben sie eine gemeinsame Stelle im Ablauf.</w:t>
      </w:r>
    </w:p>
    <w:p>
      <w:pPr>
        <w:tabs>
          <w:tab w:pos="340" w:val="left"/>
        </w:tabs>
        <w:ind w:left="340" w:hanging="340"/>
      </w:pPr>
      <w:r>
        <w:rPr>
          <w:color w:val="8C5A2B"/>
        </w:rPr>
        <w:t>–</w:t>
        <w:tab/>
      </w:r>
      <w:r>
        <w:rPr>
          <w:b/>
        </w:rPr>
        <w:t>Die Folgen außerhalb des Hauses vergessen.</w:t>
      </w:r>
      <w:r>
        <w:t xml:space="preserve"> Eine Abweichung kann eine Aussage an einen Kunden unwahr gemacht haben.</w:t>
      </w:r>
    </w:p>
    <w:p>
      <w:pPr>
        <w:tabs>
          <w:tab w:pos="340" w:val="left"/>
        </w:tabs>
        <w:ind w:left="340" w:hanging="340"/>
      </w:pPr>
      <w:r>
        <w:rPr>
          <w:color w:val="8C5A2B"/>
        </w:rPr>
        <w:t>–</w:t>
        <w:tab/>
      </w:r>
      <w:r>
        <w:rPr>
          <w:b/>
        </w:rPr>
        <w:t>Nach einem ruhigen Abend schließen.</w:t>
      </w:r>
      <w:r>
        <w:t xml:space="preserve"> Ein einzelnes Fest ohne Befund beweist keine Wirksamkeit.</w:t>
      </w:r>
    </w:p>
    <w:p>
      <w:pPr>
        <w:tabs>
          <w:tab w:pos="340" w:val="left"/>
        </w:tabs>
        <w:ind w:left="340" w:hanging="340"/>
      </w:pPr>
      <w:r>
        <w:rPr>
          <w:color w:val="8C5A2B"/>
        </w:rPr>
        <w:t>–</w:t>
        <w:tab/>
      </w:r>
      <w:r>
        <w:rPr>
          <w:b/>
        </w:rPr>
        <w:t>Meldungen bestrafen.</w:t>
      </w:r>
      <w:r>
        <w:t xml:space="preserve"> Wer für eine Meldung Ärger bekommt, meldet beim nächsten Mal nicht.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Leerung der Biotonne als Restmüll</w:t>
            </w:r>
          </w:p>
        </w:tc>
        <w:tc>
          <w:tcPr>
            <w:tcW w:type="dxa" w:w="1474"/>
          </w:tcPr>
          <w:p>
            <w:pPr>
              <w:spacing w:after="0" w:before="0"/>
            </w:pPr>
            <w:r/>
            <w:r>
              <w:rPr>
                <w:b w:val="0"/>
                <w:i w:val="0"/>
                <w:color w:val="1A1A1A"/>
                <w:sz w:val="18"/>
              </w:rPr>
              <w:t>€ 85</w:t>
            </w:r>
          </w:p>
        </w:tc>
        <w:tc>
          <w:tcPr>
            <w:tcW w:type="dxa" w:w="3175"/>
          </w:tcPr>
          <w:p>
            <w:pPr>
              <w:spacing w:after="0" w:before="0"/>
            </w:pPr>
            <w:r/>
            <w:r>
              <w:rPr>
                <w:b w:val="0"/>
                <w:i w:val="0"/>
                <w:color w:val="1A1A1A"/>
                <w:sz w:val="18"/>
              </w:rPr>
              <w:t>einmalig, Gebühr des Entsorgers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Zusätzliche Mehrwegbecher: 300 × € 1,40</w:t>
            </w:r>
          </w:p>
        </w:tc>
        <w:tc>
          <w:tcPr>
            <w:tcW w:type="dxa" w:w="1474"/>
            <w:shd w:val="clear" w:color="auto" w:fill="F3EFE6"/>
          </w:tcPr>
          <w:p>
            <w:pPr>
              <w:spacing w:after="0" w:before="0"/>
            </w:pPr>
            <w:r/>
            <w:r>
              <w:rPr>
                <w:b w:val="0"/>
                <w:i w:val="0"/>
                <w:color w:val="1A1A1A"/>
                <w:sz w:val="18"/>
              </w:rPr>
              <w:t>€ 420</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Spülkraft bis Ende der Mitternachtsbar: 10 Hochzeiten × 3 Std. × € 22</w:t>
            </w:r>
          </w:p>
        </w:tc>
        <w:tc>
          <w:tcPr>
            <w:tcW w:type="dxa" w:w="1474"/>
          </w:tcPr>
          <w:p>
            <w:pPr>
              <w:spacing w:after="0" w:before="0"/>
            </w:pPr>
            <w:r/>
            <w:r>
              <w:rPr>
                <w:b w:val="0"/>
                <w:i w:val="0"/>
                <w:color w:val="1A1A1A"/>
                <w:sz w:val="18"/>
              </w:rPr>
              <w:t>€ 660</w:t>
            </w:r>
          </w:p>
        </w:tc>
        <w:tc>
          <w:tcPr>
            <w:tcW w:type="dxa" w:w="3175"/>
          </w:tcPr>
          <w:p>
            <w:pPr>
              <w:spacing w:after="0" w:before="0"/>
            </w:pPr>
            <w:r/>
            <w:r>
              <w:rPr>
                <w:b w:val="0"/>
                <w:i w:val="0"/>
                <w:color w:val="1A1A1A"/>
                <w:sz w:val="18"/>
              </w:rPr>
              <w:t>je Saison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Agenturkräfte 30 Minuten früher: 6 × 0,5 Std. × € 28</w:t>
            </w:r>
          </w:p>
        </w:tc>
        <w:tc>
          <w:tcPr>
            <w:tcW w:type="dxa" w:w="1474"/>
            <w:shd w:val="clear" w:color="auto" w:fill="F3EFE6"/>
          </w:tcPr>
          <w:p>
            <w:pPr>
              <w:spacing w:after="0" w:before="0"/>
            </w:pPr>
            <w:r/>
            <w:r>
              <w:rPr>
                <w:b w:val="0"/>
                <w:i w:val="0"/>
                <w:color w:val="1A1A1A"/>
                <w:sz w:val="18"/>
              </w:rPr>
              <w:t>€ 84</w:t>
            </w:r>
          </w:p>
        </w:tc>
        <w:tc>
          <w:tcPr>
            <w:tcW w:type="dxa" w:w="3175"/>
            <w:shd w:val="clear" w:color="auto" w:fill="F3EFE6"/>
          </w:tcPr>
          <w:p>
            <w:pPr>
              <w:spacing w:after="0" w:before="0"/>
            </w:pPr>
            <w:r/>
            <w:r>
              <w:rPr>
                <w:b w:val="0"/>
                <w:i w:val="0"/>
                <w:color w:val="1A1A1A"/>
                <w:sz w:val="18"/>
              </w:rPr>
              <w:t>je Bankett mit sechs Kräften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Beschriftete Tonnen mit Bildzeichen, Licht im Wirtschaftshof</w:t>
            </w:r>
          </w:p>
        </w:tc>
        <w:tc>
          <w:tcPr>
            <w:tcW w:type="dxa" w:w="1474"/>
          </w:tcPr>
          <w:p>
            <w:pPr>
              <w:spacing w:after="0" w:before="0"/>
            </w:pPr>
            <w:r/>
            <w:r>
              <w:rPr>
                <w:b w:val="0"/>
                <w:i w:val="0"/>
                <w:color w:val="1A1A1A"/>
                <w:sz w:val="18"/>
              </w:rPr>
              <w:t>€ 650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Bearbeitung des Vorgangs</w:t>
            </w:r>
          </w:p>
        </w:tc>
        <w:tc>
          <w:tcPr>
            <w:tcW w:type="dxa" w:w="1474"/>
            <w:shd w:val="clear" w:color="auto" w:fill="F3EFE6"/>
          </w:tcPr>
          <w:p>
            <w:pPr>
              <w:spacing w:after="0" w:before="0"/>
            </w:pPr>
            <w:r/>
            <w:r>
              <w:rPr>
                <w:b w:val="0"/>
                <w:i w:val="0"/>
                <w:color w:val="1A1A1A"/>
                <w:sz w:val="18"/>
              </w:rPr>
              <w:t>9 Stunden</w:t>
            </w:r>
          </w:p>
        </w:tc>
        <w:tc>
          <w:tcPr>
            <w:tcW w:type="dxa" w:w="3175"/>
            <w:shd w:val="clear" w:color="auto" w:fill="F3EFE6"/>
          </w:tcPr>
          <w:p>
            <w:pPr>
              <w:spacing w:after="0" w:before="0"/>
            </w:pPr>
            <w:r/>
            <w:r>
              <w:rPr>
                <w:b w:val="0"/>
                <w:i w:val="0"/>
                <w:color w:val="1A1A1A"/>
                <w:sz w:val="18"/>
              </w:rPr>
              <w:t>Bankettleitung, Hausdame, Direktor</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zeigt, dass die Ursachen dieser Nacht weniger kosten als eine Abmahnung und ein Wechsel der Agentur an Zeit und Ärger. Sie behauptet nicht, dass damit jede Abweichung verschwindet. Sie zeigt, wo das Geld wirkt: am Ablauf nach dreiundzwanzig Uhr, nicht an den Menschen, die dort arbeiten.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Reagieren: steuern, korrigieren, Folgen, Abhilfe (10.2 a)</w:t>
            </w:r>
          </w:p>
        </w:tc>
        <w:tc>
          <w:tcPr>
            <w:tcW w:type="dxa" w:w="3175"/>
          </w:tcPr>
          <w:p>
            <w:pPr>
              <w:spacing w:after="0" w:before="0"/>
            </w:pPr>
            <w:r/>
            <w:r>
              <w:rPr>
                <w:b w:val="0"/>
                <w:i w:val="0"/>
                <w:color w:val="1A1A1A"/>
                <w:sz w:val="18"/>
              </w:rPr>
              <w:t>Blatt mit Sofortmaßnahmen; Schreiben an das Brautpaar</w:t>
            </w:r>
          </w:p>
        </w:tc>
        <w:tc>
          <w:tcPr>
            <w:tcW w:type="dxa" w:w="3175"/>
          </w:tcPr>
          <w:p>
            <w:pPr>
              <w:spacing w:after="0" w:before="0"/>
            </w:pPr>
            <w:r/>
            <w:r>
              <w:rPr>
                <w:b w:val="0"/>
                <w:i w:val="0"/>
                <w:color w:val="1A1A1A"/>
                <w:sz w:val="18"/>
              </w:rPr>
              <w:t>Methode: Blatt am Tag des Befunds eröffnen</w:t>
            </w:r>
          </w:p>
        </w:tc>
      </w:tr>
      <w:tr>
        <w:trPr>
          <w:cantSplit w:val="true"/>
        </w:trPr>
        <w:tc>
          <w:tcPr>
            <w:tcW w:type="dxa" w:w="3288"/>
            <w:shd w:val="clear" w:color="auto" w:fill="F3EFE6"/>
          </w:tcPr>
          <w:p>
            <w:pPr>
              <w:spacing w:after="0" w:before="0"/>
            </w:pPr>
            <w:r/>
            <w:r>
              <w:rPr>
                <w:b w:val="0"/>
                <w:i w:val="0"/>
                <w:color w:val="1A1A1A"/>
                <w:sz w:val="18"/>
              </w:rPr>
              <w:t>Ursachen bewerten (10.2 b)</w:t>
            </w:r>
          </w:p>
        </w:tc>
        <w:tc>
          <w:tcPr>
            <w:tcW w:type="dxa" w:w="3175"/>
            <w:shd w:val="clear" w:color="auto" w:fill="F3EFE6"/>
          </w:tcPr>
          <w:p>
            <w:pPr>
              <w:spacing w:after="0" w:before="0"/>
            </w:pPr>
            <w:r/>
            <w:r>
              <w:rPr>
                <w:b w:val="0"/>
                <w:i w:val="0"/>
                <w:color w:val="1A1A1A"/>
                <w:sz w:val="18"/>
              </w:rPr>
              <w:t>Ursachenzeilen auf dem Blatt</w:t>
            </w:r>
          </w:p>
        </w:tc>
        <w:tc>
          <w:tcPr>
            <w:tcW w:type="dxa" w:w="3175"/>
            <w:shd w:val="clear" w:color="auto" w:fill="F3EFE6"/>
          </w:tcPr>
          <w:p>
            <w:pPr>
              <w:spacing w:after="0" w:before="0"/>
            </w:pPr>
            <w:r/>
            <w:r>
              <w:rPr>
                <w:b w:val="0"/>
                <w:i w:val="0"/>
                <w:color w:val="1A1A1A"/>
                <w:sz w:val="18"/>
              </w:rPr>
              <w:t>Methode: Kerpens Frage; Suche nach ähnlichen Fällen</w:t>
            </w:r>
          </w:p>
        </w:tc>
      </w:tr>
      <w:tr>
        <w:trPr>
          <w:cantSplit w:val="true"/>
        </w:trPr>
        <w:tc>
          <w:tcPr>
            <w:tcW w:type="dxa" w:w="3288"/>
          </w:tcPr>
          <w:p>
            <w:pPr>
              <w:spacing w:after="0" w:before="0"/>
            </w:pPr>
            <w:r/>
            <w:r>
              <w:rPr>
                <w:b w:val="0"/>
                <w:i w:val="0"/>
                <w:color w:val="1A1A1A"/>
                <w:sz w:val="18"/>
              </w:rPr>
              <w:t>Maßnahmen umsetzen (10.2 c)</w:t>
            </w:r>
          </w:p>
        </w:tc>
        <w:tc>
          <w:tcPr>
            <w:tcW w:type="dxa" w:w="3175"/>
          </w:tcPr>
          <w:p>
            <w:pPr>
              <w:spacing w:after="0" w:before="0"/>
            </w:pPr>
            <w:r/>
            <w:r>
              <w:rPr>
                <w:b w:val="0"/>
                <w:i w:val="0"/>
                <w:color w:val="1A1A1A"/>
                <w:sz w:val="18"/>
              </w:rPr>
              <w:t>Liste mit Verantwortlichen und Terminen</w:t>
            </w:r>
          </w:p>
        </w:tc>
        <w:tc>
          <w:tcPr>
            <w:tcW w:type="dxa" w:w="3175"/>
          </w:tcPr>
          <w:p>
            <w:pPr>
              <w:spacing w:after="0" w:before="0"/>
            </w:pPr>
            <w:r/>
            <w:r>
              <w:rPr>
                <w:b w:val="0"/>
                <w:i w:val="0"/>
                <w:color w:val="1A1A1A"/>
                <w:sz w:val="18"/>
              </w:rPr>
              <w:t>Methode: Korrektur und Korrekturmaßnahme getrennt führen</w:t>
            </w:r>
          </w:p>
        </w:tc>
      </w:tr>
      <w:tr>
        <w:trPr>
          <w:cantSplit w:val="true"/>
        </w:trPr>
        <w:tc>
          <w:tcPr>
            <w:tcW w:type="dxa" w:w="3288"/>
            <w:shd w:val="clear" w:color="auto" w:fill="F3EFE6"/>
          </w:tcPr>
          <w:p>
            <w:pPr>
              <w:spacing w:after="0" w:before="0"/>
            </w:pPr>
            <w:r/>
            <w:r>
              <w:rPr>
                <w:b w:val="0"/>
                <w:i w:val="0"/>
                <w:color w:val="1A1A1A"/>
                <w:sz w:val="18"/>
              </w:rPr>
              <w:t>Wirksamkeit prüfen (10.2 d)</w:t>
            </w:r>
          </w:p>
        </w:tc>
        <w:tc>
          <w:tcPr>
            <w:tcW w:type="dxa" w:w="3175"/>
            <w:shd w:val="clear" w:color="auto" w:fill="F3EFE6"/>
          </w:tcPr>
          <w:p>
            <w:pPr>
              <w:spacing w:after="0" w:before="0"/>
            </w:pPr>
            <w:r/>
            <w:r>
              <w:rPr>
                <w:b w:val="0"/>
                <w:i w:val="0"/>
                <w:color w:val="1A1A1A"/>
                <w:sz w:val="18"/>
              </w:rPr>
              <w:t>Fotos von vier Hochzeiten; Leerungen ohne Beanstandung</w:t>
            </w:r>
          </w:p>
        </w:tc>
        <w:tc>
          <w:tcPr>
            <w:tcW w:type="dxa" w:w="3175"/>
            <w:shd w:val="clear" w:color="auto" w:fill="F3EFE6"/>
          </w:tcPr>
          <w:p>
            <w:pPr>
              <w:spacing w:after="0" w:before="0"/>
            </w:pPr>
            <w:r/>
            <w:r>
              <w:rPr>
                <w:b w:val="0"/>
                <w:i w:val="0"/>
                <w:color w:val="1A1A1A"/>
                <w:sz w:val="18"/>
              </w:rPr>
              <w:t>Methode: nach mehreren Festen prüfen, nicht nach einem</w:t>
            </w:r>
          </w:p>
        </w:tc>
      </w:tr>
      <w:tr>
        <w:trPr>
          <w:cantSplit w:val="true"/>
        </w:trPr>
        <w:tc>
          <w:tcPr>
            <w:tcW w:type="dxa" w:w="3288"/>
          </w:tcPr>
          <w:p>
            <w:pPr>
              <w:spacing w:after="0" w:before="0"/>
            </w:pPr>
            <w:r/>
            <w:r>
              <w:rPr>
                <w:b w:val="0"/>
                <w:i w:val="0"/>
                <w:color w:val="1A1A1A"/>
                <w:sz w:val="18"/>
              </w:rPr>
              <w:t>System ändern, wenn nötig (10.2 e)</w:t>
            </w:r>
          </w:p>
        </w:tc>
        <w:tc>
          <w:tcPr>
            <w:tcW w:type="dxa" w:w="3175"/>
          </w:tcPr>
          <w:p>
            <w:pPr>
              <w:spacing w:after="0" w:before="0"/>
            </w:pPr>
            <w:r/>
            <w:r>
              <w:rPr>
                <w:b w:val="0"/>
                <w:i w:val="0"/>
                <w:color w:val="1A1A1A"/>
                <w:sz w:val="18"/>
              </w:rPr>
              <w:t>geändertes Bankettformular, ergänzter Agenturvertrag</w:t>
            </w:r>
          </w:p>
        </w:tc>
        <w:tc>
          <w:tcPr>
            <w:tcW w:type="dxa" w:w="3175"/>
          </w:tcPr>
          <w:p>
            <w:pPr>
              <w:spacing w:after="0" w:before="0"/>
            </w:pPr>
            <w:r/>
            <w:r>
              <w:rPr>
                <w:b w:val="0"/>
                <w:i w:val="0"/>
                <w:color w:val="1A1A1A"/>
                <w:sz w:val="18"/>
              </w:rPr>
              <w:t>Änderung geplant durchführen (6.3; 2.10)</w:t>
            </w:r>
          </w:p>
        </w:tc>
      </w:tr>
      <w:tr>
        <w:trPr>
          <w:cantSplit w:val="true"/>
        </w:trPr>
        <w:tc>
          <w:tcPr>
            <w:tcW w:type="dxa" w:w="3288"/>
            <w:shd w:val="clear" w:color="auto" w:fill="F3EFE6"/>
          </w:tcPr>
          <w:p>
            <w:pPr>
              <w:spacing w:after="0" w:before="0"/>
            </w:pPr>
            <w:r/>
            <w:r>
              <w:rPr>
                <w:b w:val="0"/>
                <w:i w:val="0"/>
                <w:color w:val="1A1A1A"/>
                <w:sz w:val="18"/>
              </w:rPr>
              <w:t>Dokumentierte Information (10.2)</w:t>
            </w:r>
          </w:p>
        </w:tc>
        <w:tc>
          <w:tcPr>
            <w:tcW w:type="dxa" w:w="3175"/>
            <w:shd w:val="clear" w:color="auto" w:fill="F3EFE6"/>
          </w:tcPr>
          <w:p>
            <w:pPr>
              <w:spacing w:after="0" w:before="0"/>
            </w:pPr>
            <w:r/>
            <w:r>
              <w:rPr>
                <w:b w:val="0"/>
                <w:i w:val="0"/>
                <w:color w:val="1A1A1A"/>
                <w:sz w:val="18"/>
              </w:rPr>
              <w:t>Register der Vorgänge einer Saison</w:t>
            </w:r>
          </w:p>
        </w:tc>
        <w:tc>
          <w:tcPr>
            <w:tcW w:type="dxa" w:w="3175"/>
            <w:shd w:val="clear" w:color="auto" w:fill="F3EFE6"/>
          </w:tcPr>
          <w:p>
            <w:pPr>
              <w:spacing w:after="0" w:before="0"/>
            </w:pPr>
            <w:r/>
            <w:r>
              <w:rPr>
                <w:b w:val="0"/>
                <w:i w:val="0"/>
                <w:color w:val="1A1A1A"/>
                <w:sz w:val="18"/>
              </w:rPr>
              <w:t>C.3: Zahl der Vorfälle mit Korrekturmaßnahmen</w:t>
            </w:r>
          </w:p>
        </w:tc>
      </w:tr>
    </w:tbl>
    <w:p>
      <w:pPr>
        <w:spacing w:after="40"/>
      </w:pPr>
    </w:p>
    <w:p>
      <w:pPr>
        <w:pStyle w:val="Heading2"/>
      </w:pPr>
      <w:r>
        <w:t>DACH-Anker: was in der Nacht auch Recht war</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Einweisung überlassener Kräfte</w:t>
            </w:r>
          </w:p>
        </w:tc>
        <w:tc>
          <w:tcPr>
            <w:tcW w:type="dxa" w:w="2721"/>
          </w:tcPr>
          <w:p>
            <w:pPr>
              <w:spacing w:after="0" w:before="0"/>
            </w:pPr>
            <w:r/>
            <w:r>
              <w:rPr>
                <w:b w:val="0"/>
                <w:i w:val="0"/>
                <w:color w:val="1A1A1A"/>
                <w:sz w:val="17"/>
              </w:rPr>
              <w:t>Unterweisung vor Aufnahme der Tätigkeit; bei Überlassung trifft sie den Entleiher (§ 12 ArbSchG)</w:t>
            </w:r>
          </w:p>
        </w:tc>
        <w:tc>
          <w:tcPr>
            <w:tcW w:type="dxa" w:w="2721"/>
          </w:tcPr>
          <w:p>
            <w:pPr>
              <w:spacing w:after="0" w:before="0"/>
            </w:pPr>
            <w:r/>
            <w:r>
              <w:rPr>
                <w:b w:val="0"/>
                <w:i w:val="0"/>
                <w:color w:val="1A1A1A"/>
                <w:sz w:val="17"/>
              </w:rPr>
              <w:t>Unterweisung vor Aufnahme der Tätigkeit, nachweislich, in verständlicher Sprache (§ 14 ASchG); Beschäftiger als Arbeitgeber (§ 6 AÜG, 1.15)</w:t>
            </w:r>
          </w:p>
        </w:tc>
        <w:tc>
          <w:tcPr>
            <w:tcW w:type="dxa" w:w="2721"/>
          </w:tcPr>
          <w:p>
            <w:pPr>
              <w:spacing w:after="0" w:before="0"/>
            </w:pPr>
            <w:r/>
            <w:r>
              <w:rPr>
                <w:b w:val="0"/>
                <w:i w:val="0"/>
                <w:color w:val="1A1A1A"/>
                <w:sz w:val="17"/>
              </w:rPr>
              <w:t>Information und Anleitung auch für Arbeitnehmer anderer Betriebe (Art. 6 Abs. 1 VUV); Art. 10 VUV (1.15)</w:t>
            </w:r>
          </w:p>
        </w:tc>
      </w:tr>
      <w:tr>
        <w:trPr>
          <w:cantSplit w:val="true"/>
        </w:trPr>
        <w:tc>
          <w:tcPr>
            <w:tcW w:type="dxa" w:w="1474"/>
            <w:shd w:val="clear" w:color="auto" w:fill="F3EFE6"/>
          </w:tcPr>
          <w:p>
            <w:pPr>
              <w:spacing w:after="0" w:before="0"/>
            </w:pPr>
            <w:r/>
            <w:r>
              <w:rPr>
                <w:b w:val="0"/>
                <w:i w:val="0"/>
                <w:color w:val="1A1A1A"/>
                <w:sz w:val="17"/>
              </w:rPr>
              <w:t>Getrennte Sammlung</w:t>
            </w:r>
          </w:p>
        </w:tc>
        <w:tc>
          <w:tcPr>
            <w:tcW w:type="dxa" w:w="2721"/>
            <w:shd w:val="clear" w:color="auto" w:fill="F3EFE6"/>
          </w:tcPr>
          <w:p>
            <w:pPr>
              <w:spacing w:after="0" w:before="0"/>
            </w:pPr>
            <w:r/>
            <w:r>
              <w:rPr>
                <w:b w:val="0"/>
                <w:i w:val="0"/>
                <w:color w:val="1A1A1A"/>
                <w:sz w:val="17"/>
              </w:rPr>
              <w:t>Bioabfälle getrennt; Dokumentation etwa mit Lichtbildern (§ 3 GewAbfV)</w:t>
            </w:r>
          </w:p>
        </w:tc>
        <w:tc>
          <w:tcPr>
            <w:tcW w:type="dxa" w:w="2721"/>
            <w:shd w:val="clear" w:color="auto" w:fill="F3EFE6"/>
          </w:tcPr>
          <w:p>
            <w:pPr>
              <w:spacing w:after="0" w:before="0"/>
            </w:pPr>
            <w:r/>
            <w:r>
              <w:rPr>
                <w:b w:val="0"/>
                <w:i w:val="0"/>
                <w:color w:val="1A1A1A"/>
                <w:sz w:val="17"/>
              </w:rPr>
              <w:t>Landesrecht und Abfuhrordnung der Gemeinde</w:t>
            </w:r>
          </w:p>
        </w:tc>
        <w:tc>
          <w:tcPr>
            <w:tcW w:type="dxa" w:w="2721"/>
            <w:shd w:val="clear" w:color="auto" w:fill="F3EFE6"/>
          </w:tcPr>
          <w:p>
            <w:pPr>
              <w:spacing w:after="0" w:before="0"/>
            </w:pPr>
            <w:r/>
            <w:r>
              <w:rPr>
                <w:b w:val="0"/>
                <w:i w:val="0"/>
                <w:color w:val="1A1A1A"/>
                <w:sz w:val="17"/>
              </w:rPr>
              <w:t>Reglemente von Kanton und Gemeinde</w:t>
            </w:r>
          </w:p>
        </w:tc>
      </w:tr>
      <w:tr>
        <w:trPr>
          <w:cantSplit w:val="true"/>
        </w:trPr>
        <w:tc>
          <w:tcPr>
            <w:tcW w:type="dxa" w:w="1474"/>
          </w:tcPr>
          <w:p>
            <w:pPr>
              <w:spacing w:after="0" w:before="0"/>
            </w:pPr>
            <w:r/>
            <w:r>
              <w:rPr>
                <w:b w:val="0"/>
                <w:i w:val="0"/>
                <w:color w:val="1A1A1A"/>
                <w:sz w:val="17"/>
              </w:rPr>
              <w:t>Einwegbecher</w:t>
            </w:r>
          </w:p>
        </w:tc>
        <w:tc>
          <w:tcPr>
            <w:tcW w:type="dxa" w:w="2721"/>
          </w:tcPr>
          <w:p>
            <w:pPr>
              <w:spacing w:after="0" w:before="0"/>
            </w:pPr>
            <w:r/>
            <w:r>
              <w:rPr>
                <w:b w:val="0"/>
                <w:i w:val="0"/>
                <w:color w:val="1A1A1A"/>
                <w:sz w:val="17"/>
              </w:rPr>
              <w:t>verboten nur aus expandiertem Polystyrol (§ 3 EWKVerbotsV)</w:t>
            </w:r>
          </w:p>
        </w:tc>
        <w:tc>
          <w:tcPr>
            <w:tcW w:type="dxa" w:w="2721"/>
          </w:tcPr>
          <w:p>
            <w:pPr>
              <w:spacing w:after="0" w:before="0"/>
            </w:pPr>
            <w:r/>
            <w:r>
              <w:rPr>
                <w:b w:val="0"/>
                <w:i w:val="0"/>
                <w:color w:val="1A1A1A"/>
                <w:sz w:val="17"/>
              </w:rPr>
              <w:t>Verbote nach § 13n AWG 2002 (1.13)</w:t>
            </w:r>
          </w:p>
        </w:tc>
        <w:tc>
          <w:tcPr>
            <w:tcW w:type="dxa" w:w="2721"/>
          </w:tcPr>
          <w:p>
            <w:pPr>
              <w:spacing w:after="0" w:before="0"/>
            </w:pPr>
            <w:r/>
            <w:r>
              <w:rPr>
                <w:b w:val="0"/>
                <w:i w:val="0"/>
                <w:color w:val="1A1A1A"/>
                <w:sz w:val="17"/>
              </w:rPr>
              <w:t>kein Verbot des Bundes (1.13)</w:t>
            </w:r>
          </w:p>
        </w:tc>
      </w:tr>
      <w:tr>
        <w:trPr>
          <w:cantSplit w:val="true"/>
        </w:trPr>
        <w:tc>
          <w:tcPr>
            <w:tcW w:type="dxa" w:w="1474"/>
            <w:shd w:val="clear" w:color="auto" w:fill="F3EFE6"/>
          </w:tcPr>
          <w:p>
            <w:pPr>
              <w:spacing w:after="0" w:before="0"/>
            </w:pPr>
            <w:r/>
            <w:r>
              <w:rPr>
                <w:b w:val="0"/>
                <w:i w:val="0"/>
                <w:color w:val="1A1A1A"/>
                <w:sz w:val="17"/>
              </w:rPr>
              <w:t>Fotos aus der Nacht</w:t>
            </w:r>
          </w:p>
        </w:tc>
        <w:tc>
          <w:tcPr>
            <w:tcW w:type="dxa" w:w="2721"/>
            <w:shd w:val="clear" w:color="auto" w:fill="F3EFE6"/>
          </w:tcPr>
          <w:p>
            <w:pPr>
              <w:spacing w:after="0" w:before="0"/>
            </w:pPr>
            <w:r/>
            <w:r>
              <w:rPr>
                <w:b w:val="0"/>
                <w:i w:val="0"/>
                <w:color w:val="1A1A1A"/>
                <w:sz w:val="17"/>
              </w:rPr>
              <w:t>DSGVO, wenn Personen erkennbar sind</w:t>
            </w:r>
          </w:p>
        </w:tc>
        <w:tc>
          <w:tcPr>
            <w:tcW w:type="dxa" w:w="2721"/>
            <w:shd w:val="clear" w:color="auto" w:fill="F3EFE6"/>
          </w:tcPr>
          <w:p>
            <w:pPr>
              <w:spacing w:after="0" w:before="0"/>
            </w:pPr>
            <w:r/>
            <w:r>
              <w:rPr>
                <w:b w:val="0"/>
                <w:i w:val="0"/>
                <w:color w:val="1A1A1A"/>
                <w:sz w:val="17"/>
              </w:rPr>
              <w:t>DSGVO, wenn Personen erkennbar sind</w:t>
            </w:r>
          </w:p>
        </w:tc>
        <w:tc>
          <w:tcPr>
            <w:tcW w:type="dxa" w:w="2721"/>
            <w:shd w:val="clear" w:color="auto" w:fill="F3EFE6"/>
          </w:tcPr>
          <w:p>
            <w:pPr>
              <w:spacing w:after="0" w:before="0"/>
            </w:pPr>
            <w:r/>
            <w:r>
              <w:rPr>
                <w:b w:val="0"/>
                <w:i w:val="0"/>
                <w:color w:val="1A1A1A"/>
                <w:sz w:val="17"/>
              </w:rPr>
              <w:t>Datenschutzgesetz (1.10)</w:t>
            </w:r>
          </w:p>
        </w:tc>
      </w:tr>
      <w:tr>
        <w:trPr>
          <w:cantSplit w:val="true"/>
        </w:trPr>
        <w:tc>
          <w:tcPr>
            <w:tcW w:type="dxa" w:w="1474"/>
          </w:tcPr>
          <w:p>
            <w:pPr>
              <w:spacing w:after="0" w:before="0"/>
            </w:pPr>
            <w:r/>
            <w:r>
              <w:rPr>
                <w:b w:val="0"/>
                <w:i w:val="0"/>
                <w:color w:val="1A1A1A"/>
                <w:sz w:val="17"/>
              </w:rPr>
              <w:t>Satz in der Hochzeitsmappe</w:t>
            </w:r>
          </w:p>
        </w:tc>
        <w:tc>
          <w:tcPr>
            <w:tcW w:type="dxa" w:w="2721"/>
          </w:tcPr>
          <w:p>
            <w:pPr>
              <w:spacing w:after="0" w:before="0"/>
            </w:pPr>
            <w:r/>
            <w:r>
              <w:rPr>
                <w:b w:val="0"/>
                <w:i w:val="0"/>
                <w:color w:val="1A1A1A"/>
                <w:sz w:val="17"/>
              </w:rPr>
              <w:t>UWG, Regeln zu Umweltaussagen ab 27. September 2026</w:t>
            </w:r>
          </w:p>
        </w:tc>
        <w:tc>
          <w:tcPr>
            <w:tcW w:type="dxa" w:w="2721"/>
          </w:tcPr>
          <w:p>
            <w:pPr>
              <w:spacing w:after="0" w:before="0"/>
            </w:pPr>
            <w:r/>
            <w:r>
              <w:rPr>
                <w:b w:val="0"/>
                <w:i w:val="0"/>
                <w:color w:val="1A1A1A"/>
                <w:sz w:val="17"/>
              </w:rPr>
              <w:t>UWG-Novelle BGBl. I Nr. 58/2026</w:t>
            </w:r>
          </w:p>
        </w:tc>
        <w:tc>
          <w:tcPr>
            <w:tcW w:type="dxa" w:w="2721"/>
          </w:tcPr>
          <w:p>
            <w:pPr>
              <w:spacing w:after="0" w:before="0"/>
            </w:pPr>
            <w:r/>
            <w:r>
              <w:rPr>
                <w:b w:val="0"/>
                <w:i w:val="0"/>
                <w:color w:val="1A1A1A"/>
                <w:sz w:val="17"/>
              </w:rPr>
              <w:t>UWG Art. 3 Abs. 1 lit. b</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2.12.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2.12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2.12 — Eine Nichtkonformität bearbeiten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