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2.13</w:t>
      </w:r>
    </w:p>
    <w:p>
      <w:pPr>
        <w:pStyle w:val="Heading1"/>
      </w:pPr>
      <w:r>
        <w:t>Die dokumentierte Information ordnen</w:t>
      </w:r>
    </w:p>
    <w:p>
      <w:pPr>
        <w:spacing w:after="0"/>
      </w:pPr>
      <w:r>
        <w:rPr>
          <w:b w:val="0"/>
          <w:i/>
          <w:color w:val="5A5A5A"/>
        </w:rPr>
        <w:t>Abschnitt 2.13 · Dokumentierte Information</w:t>
      </w:r>
    </w:p>
    <w:p>
      <w:pPr>
        <w:spacing w:after="160"/>
      </w:pPr>
      <w:r>
        <w:rPr>
          <w:b w:val="0"/>
          <w:i w:val="0"/>
          <w:color w:val="5A5A5A"/>
          <w:sz w:val="18"/>
        </w:rPr>
        <w:t>Modellfall im Buch: Winterthur</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Wenn ein Kunde morgen sechs Nachweise Ihres Systems verlangt: Legen Sie ihm sechs Blätter vor, oder drei Ordner, in denen er selbst suchen soll? Und wissen Sie, welche Teilnehmerlisten vom letzten Herbst noch in Ihrem Haus liegen, bei wem und wozu?</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Die schlanke Ablage in Winterthur</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Information</w:t>
            </w:r>
          </w:p>
        </w:tc>
        <w:tc>
          <w:tcPr>
            <w:tcW w:type="dxa" w:w="3213"/>
            <w:shd w:val="clear" w:color="auto" w:fill="8C5A2B"/>
          </w:tcPr>
          <w:p>
            <w:pPr>
              <w:spacing w:after="0" w:before="0"/>
            </w:pPr>
            <w:r/>
            <w:r>
              <w:rPr>
                <w:b/>
                <w:i w:val="0"/>
                <w:color w:val="FFFFFF"/>
                <w:sz w:val="18"/>
              </w:rPr>
              <w:t>Wo sie liegt</w:t>
            </w:r>
          </w:p>
        </w:tc>
        <w:tc>
          <w:tcPr>
            <w:tcW w:type="dxa" w:w="3213"/>
            <w:shd w:val="clear" w:color="auto" w:fill="8C5A2B"/>
          </w:tcPr>
          <w:p>
            <w:pPr>
              <w:spacing w:after="0" w:before="0"/>
            </w:pPr>
            <w:r/>
            <w:r>
              <w:rPr>
                <w:b/>
                <w:i w:val="0"/>
                <w:color w:val="FFFFFF"/>
                <w:sz w:val="18"/>
              </w:rPr>
              <w:t>Wer zuständig ist</w:t>
            </w:r>
          </w:p>
        </w:tc>
      </w:tr>
      <w:tr>
        <w:trPr>
          <w:cantSplit w:val="true"/>
        </w:trPr>
        <w:tc>
          <w:tcPr>
            <w:tcW w:type="dxa" w:w="3213"/>
          </w:tcPr>
          <w:p>
            <w:pPr>
              <w:spacing w:after="0" w:before="0"/>
            </w:pPr>
            <w:r/>
            <w:r>
              <w:rPr>
                <w:b w:val="0"/>
                <w:i w:val="0"/>
                <w:color w:val="1A1A1A"/>
                <w:sz w:val="18"/>
              </w:rPr>
              <w:t>Anwendungsbereich, Zweck und Werte, Politik</w:t>
            </w:r>
          </w:p>
        </w:tc>
        <w:tc>
          <w:tcPr>
            <w:tcW w:type="dxa" w:w="3213"/>
          </w:tcPr>
          <w:p>
            <w:pPr>
              <w:spacing w:after="0" w:before="0"/>
            </w:pPr>
            <w:r/>
            <w:r>
              <w:rPr>
                <w:b w:val="0"/>
                <w:i w:val="0"/>
                <w:color w:val="1A1A1A"/>
                <w:sz w:val="18"/>
              </w:rPr>
              <w:t>ein Ordner auf dem gemeinsamen Laufwerk, schreibgeschützt</w:t>
            </w:r>
          </w:p>
        </w:tc>
        <w:tc>
          <w:tcPr>
            <w:tcW w:type="dxa" w:w="3213"/>
          </w:tcPr>
          <w:p>
            <w:pPr>
              <w:spacing w:after="0" w:before="0"/>
            </w:pPr>
            <w:r/>
            <w:r>
              <w:rPr>
                <w:b w:val="0"/>
                <w:i w:val="0"/>
                <w:color w:val="1A1A1A"/>
                <w:sz w:val="18"/>
              </w:rPr>
              <w:t>Direktorin, Freigabe mit Datum</w:t>
            </w:r>
          </w:p>
        </w:tc>
      </w:tr>
      <w:tr>
        <w:trPr>
          <w:cantSplit w:val="true"/>
        </w:trPr>
        <w:tc>
          <w:tcPr>
            <w:tcW w:type="dxa" w:w="3213"/>
            <w:shd w:val="clear" w:color="auto" w:fill="F3EFE6"/>
          </w:tcPr>
          <w:p>
            <w:pPr>
              <w:spacing w:after="0" w:before="0"/>
            </w:pPr>
            <w:r/>
            <w:r>
              <w:rPr>
                <w:b w:val="0"/>
                <w:i w:val="0"/>
                <w:color w:val="1A1A1A"/>
                <w:sz w:val="18"/>
              </w:rPr>
              <w:t>Themen mit Kriterien und Bewertung</w:t>
            </w:r>
          </w:p>
        </w:tc>
        <w:tc>
          <w:tcPr>
            <w:tcW w:type="dxa" w:w="3213"/>
            <w:shd w:val="clear" w:color="auto" w:fill="F3EFE6"/>
          </w:tcPr>
          <w:p>
            <w:pPr>
              <w:spacing w:after="0" w:before="0"/>
            </w:pPr>
            <w:r/>
            <w:r>
              <w:rPr>
                <w:b w:val="0"/>
                <w:i w:val="0"/>
                <w:color w:val="1A1A1A"/>
                <w:sz w:val="18"/>
              </w:rPr>
              <w:t>eine Tabelle, jährlich überprüft</w:t>
            </w:r>
          </w:p>
        </w:tc>
        <w:tc>
          <w:tcPr>
            <w:tcW w:type="dxa" w:w="3213"/>
            <w:shd w:val="clear" w:color="auto" w:fill="F3EFE6"/>
          </w:tcPr>
          <w:p>
            <w:pPr>
              <w:spacing w:after="0" w:before="0"/>
            </w:pPr>
            <w:r/>
            <w:r>
              <w:rPr>
                <w:b w:val="0"/>
                <w:i w:val="0"/>
                <w:color w:val="1A1A1A"/>
                <w:sz w:val="18"/>
              </w:rPr>
              <w:t>Qualitätsverantwortlicher</w:t>
            </w:r>
          </w:p>
        </w:tc>
      </w:tr>
      <w:tr>
        <w:trPr>
          <w:cantSplit w:val="true"/>
        </w:trPr>
        <w:tc>
          <w:tcPr>
            <w:tcW w:type="dxa" w:w="3213"/>
          </w:tcPr>
          <w:p>
            <w:pPr>
              <w:spacing w:after="0" w:before="0"/>
            </w:pPr>
            <w:r/>
            <w:r>
              <w:rPr>
                <w:b w:val="0"/>
                <w:i w:val="0"/>
                <w:color w:val="1A1A1A"/>
                <w:sz w:val="18"/>
              </w:rPr>
              <w:t>Ziele mit Stand</w:t>
            </w:r>
          </w:p>
        </w:tc>
        <w:tc>
          <w:tcPr>
            <w:tcW w:type="dxa" w:w="3213"/>
          </w:tcPr>
          <w:p>
            <w:pPr>
              <w:spacing w:after="0" w:before="0"/>
            </w:pPr>
            <w:r/>
            <w:r>
              <w:rPr>
                <w:b w:val="0"/>
                <w:i w:val="0"/>
                <w:color w:val="1A1A1A"/>
                <w:sz w:val="18"/>
              </w:rPr>
              <w:t>eine Seite, monatlich nachgeführt</w:t>
            </w:r>
          </w:p>
        </w:tc>
        <w:tc>
          <w:tcPr>
            <w:tcW w:type="dxa" w:w="3213"/>
          </w:tcPr>
          <w:p>
            <w:pPr>
              <w:spacing w:after="0" w:before="0"/>
            </w:pPr>
            <w:r/>
            <w:r>
              <w:rPr>
                <w:b w:val="0"/>
                <w:i w:val="0"/>
                <w:color w:val="1A1A1A"/>
                <w:sz w:val="18"/>
              </w:rPr>
              <w:t>Bankettleiterin, Küchenchef</w:t>
            </w:r>
          </w:p>
        </w:tc>
      </w:tr>
      <w:tr>
        <w:trPr>
          <w:cantSplit w:val="true"/>
        </w:trPr>
        <w:tc>
          <w:tcPr>
            <w:tcW w:type="dxa" w:w="3213"/>
            <w:shd w:val="clear" w:color="auto" w:fill="F3EFE6"/>
          </w:tcPr>
          <w:p>
            <w:pPr>
              <w:spacing w:after="0" w:before="0"/>
            </w:pPr>
            <w:r/>
            <w:r>
              <w:rPr>
                <w:b w:val="0"/>
                <w:i w:val="0"/>
                <w:color w:val="1A1A1A"/>
                <w:sz w:val="18"/>
              </w:rPr>
              <w:t>Ablaufplan und Bankettformular</w:t>
            </w:r>
          </w:p>
        </w:tc>
        <w:tc>
          <w:tcPr>
            <w:tcW w:type="dxa" w:w="3213"/>
            <w:shd w:val="clear" w:color="auto" w:fill="F3EFE6"/>
          </w:tcPr>
          <w:p>
            <w:pPr>
              <w:spacing w:after="0" w:before="0"/>
            </w:pPr>
            <w:r/>
            <w:r>
              <w:rPr>
                <w:b w:val="0"/>
                <w:i w:val="0"/>
                <w:color w:val="1A1A1A"/>
                <w:sz w:val="18"/>
              </w:rPr>
              <w:t>Reservationssoftware</w:t>
            </w:r>
          </w:p>
        </w:tc>
        <w:tc>
          <w:tcPr>
            <w:tcW w:type="dxa" w:w="3213"/>
            <w:shd w:val="clear" w:color="auto" w:fill="F3EFE6"/>
          </w:tcPr>
          <w:p>
            <w:pPr>
              <w:spacing w:after="0" w:before="0"/>
            </w:pPr>
            <w:r/>
            <w:r>
              <w:rPr>
                <w:b w:val="0"/>
                <w:i w:val="0"/>
                <w:color w:val="1A1A1A"/>
                <w:sz w:val="18"/>
              </w:rPr>
              <w:t>Bankettleitung</w:t>
            </w:r>
          </w:p>
        </w:tc>
      </w:tr>
      <w:tr>
        <w:trPr>
          <w:cantSplit w:val="true"/>
        </w:trPr>
        <w:tc>
          <w:tcPr>
            <w:tcW w:type="dxa" w:w="3213"/>
          </w:tcPr>
          <w:p>
            <w:pPr>
              <w:spacing w:after="0" w:before="0"/>
            </w:pPr>
            <w:r/>
            <w:r>
              <w:rPr>
                <w:b w:val="0"/>
                <w:i w:val="0"/>
                <w:color w:val="1A1A1A"/>
                <w:sz w:val="18"/>
              </w:rPr>
              <w:t>Kompetenznachweise</w:t>
            </w:r>
          </w:p>
        </w:tc>
        <w:tc>
          <w:tcPr>
            <w:tcW w:type="dxa" w:w="3213"/>
          </w:tcPr>
          <w:p>
            <w:pPr>
              <w:spacing w:after="0" w:before="0"/>
            </w:pPr>
            <w:r/>
            <w:r>
              <w:rPr>
                <w:b w:val="0"/>
                <w:i w:val="0"/>
                <w:color w:val="1A1A1A"/>
                <w:sz w:val="18"/>
              </w:rPr>
              <w:t>Personaldossiers, für Aushilfen eine Liste</w:t>
            </w:r>
          </w:p>
        </w:tc>
        <w:tc>
          <w:tcPr>
            <w:tcW w:type="dxa" w:w="3213"/>
          </w:tcPr>
          <w:p>
            <w:pPr>
              <w:spacing w:after="0" w:before="0"/>
            </w:pPr>
            <w:r/>
            <w:r>
              <w:rPr>
                <w:b w:val="0"/>
                <w:i w:val="0"/>
                <w:color w:val="1A1A1A"/>
                <w:sz w:val="18"/>
              </w:rPr>
              <w:t>Personalabteilung, Bankettleitung</w:t>
            </w:r>
          </w:p>
        </w:tc>
      </w:tr>
      <w:tr>
        <w:trPr>
          <w:cantSplit w:val="true"/>
        </w:trPr>
        <w:tc>
          <w:tcPr>
            <w:tcW w:type="dxa" w:w="3213"/>
            <w:shd w:val="clear" w:color="auto" w:fill="F3EFE6"/>
          </w:tcPr>
          <w:p>
            <w:pPr>
              <w:spacing w:after="0" w:before="0"/>
            </w:pPr>
            <w:r/>
            <w:r>
              <w:rPr>
                <w:b w:val="0"/>
                <w:i w:val="0"/>
                <w:color w:val="1A1A1A"/>
                <w:sz w:val="18"/>
              </w:rPr>
              <w:t>Lehren je Veranstaltung</w:t>
            </w:r>
          </w:p>
        </w:tc>
        <w:tc>
          <w:tcPr>
            <w:tcW w:type="dxa" w:w="3213"/>
            <w:shd w:val="clear" w:color="auto" w:fill="F3EFE6"/>
          </w:tcPr>
          <w:p>
            <w:pPr>
              <w:spacing w:after="0" w:before="0"/>
            </w:pPr>
            <w:r/>
            <w:r>
              <w:rPr>
                <w:b w:val="0"/>
                <w:i w:val="0"/>
                <w:color w:val="1A1A1A"/>
                <w:sz w:val="18"/>
              </w:rPr>
              <w:t>Notiz im Bankettformular nach dem Anlass</w:t>
            </w:r>
          </w:p>
        </w:tc>
        <w:tc>
          <w:tcPr>
            <w:tcW w:type="dxa" w:w="3213"/>
            <w:shd w:val="clear" w:color="auto" w:fill="F3EFE6"/>
          </w:tcPr>
          <w:p>
            <w:pPr>
              <w:spacing w:after="0" w:before="0"/>
            </w:pPr>
            <w:r/>
            <w:r>
              <w:rPr>
                <w:b w:val="0"/>
                <w:i w:val="0"/>
                <w:color w:val="1A1A1A"/>
                <w:sz w:val="18"/>
              </w:rPr>
              <w:t>Bankettleitung</w:t>
            </w:r>
          </w:p>
        </w:tc>
      </w:tr>
      <w:tr>
        <w:trPr>
          <w:cantSplit w:val="true"/>
        </w:trPr>
        <w:tc>
          <w:tcPr>
            <w:tcW w:type="dxa" w:w="3213"/>
          </w:tcPr>
          <w:p>
            <w:pPr>
              <w:spacing w:after="0" w:before="0"/>
            </w:pPr>
            <w:r/>
            <w:r>
              <w:rPr>
                <w:b w:val="0"/>
                <w:i w:val="0"/>
                <w:color w:val="1A1A1A"/>
                <w:sz w:val="18"/>
              </w:rPr>
              <w:t>Teilnehmerlisten</w:t>
            </w:r>
          </w:p>
        </w:tc>
        <w:tc>
          <w:tcPr>
            <w:tcW w:type="dxa" w:w="3213"/>
          </w:tcPr>
          <w:p>
            <w:pPr>
              <w:spacing w:after="0" w:before="0"/>
            </w:pPr>
            <w:r/>
            <w:r>
              <w:rPr>
                <w:b w:val="0"/>
                <w:i w:val="0"/>
                <w:color w:val="1A1A1A"/>
                <w:sz w:val="18"/>
              </w:rPr>
              <w:t>Reservationssoftware, Zugriff beschränkt, Löschfrist</w:t>
            </w:r>
          </w:p>
        </w:tc>
        <w:tc>
          <w:tcPr>
            <w:tcW w:type="dxa" w:w="3213"/>
          </w:tcPr>
          <w:p>
            <w:pPr>
              <w:spacing w:after="0" w:before="0"/>
            </w:pPr>
            <w:r/>
            <w:r>
              <w:rPr>
                <w:b w:val="0"/>
                <w:i w:val="0"/>
                <w:color w:val="1A1A1A"/>
                <w:sz w:val="18"/>
              </w:rPr>
              <w:t>Bankettleitung, Rezeption</w:t>
            </w:r>
          </w:p>
        </w:tc>
      </w:tr>
    </w:tbl>
    <w:p>
      <w:pPr>
        <w:spacing w:after="40"/>
      </w:pPr>
    </w:p>
    <w:p>
      <w:pPr>
        <w:pStyle w:val="Heading2"/>
      </w:pPr>
      <w:r>
        <w:t>Praktische Anwendung: die dokumentierte Information in sieben Schritten ordnen</w:t>
      </w:r>
    </w:p>
    <w:p>
      <w:pPr>
        <w:tabs>
          <w:tab w:pos="340" w:val="left"/>
        </w:tabs>
        <w:ind w:left="340" w:hanging="340"/>
      </w:pPr>
      <w:r>
        <w:rPr>
          <w:b/>
          <w:color w:val="8C5A2B"/>
        </w:rPr>
        <w:t>1.</w:t>
        <w:tab/>
      </w:r>
      <w:r>
        <w:rPr>
          <w:b/>
        </w:rPr>
        <w:t>Die Pflichtliste aufschreiben.</w:t>
      </w:r>
      <w:r>
        <w:t xml:space="preserve"> Die Stellen, an denen die Norm dokumentierte Information verlangt, kommen in eine Liste mit je einer Zeile. Neben jeder Zeile steht, was das Haus dafür heute hat und wo es liegt.</w:t>
      </w:r>
    </w:p>
    <w:p>
      <w:pPr>
        <w:tabs>
          <w:tab w:pos="340" w:val="left"/>
        </w:tabs>
        <w:ind w:left="340" w:hanging="340"/>
      </w:pPr>
      <w:r>
        <w:rPr>
          <w:b/>
          <w:color w:val="8C5A2B"/>
        </w:rPr>
        <w:t>2.</w:t>
        <w:tab/>
      </w:r>
      <w:r>
        <w:rPr>
          <w:b/>
        </w:rPr>
        <w:t>Die eigenen Papiere zählen.</w:t>
      </w:r>
      <w:r>
        <w:t xml:space="preserve"> Was wird im Betrieb tatsächlich verwendet: Bankettformular, Ablaufplan, Dienstplan, Lieferscheine, eigene Tabellen? Jedes Papier bekommt eine Zeile mit Ort und Nutzer.</w:t>
      </w:r>
    </w:p>
    <w:p>
      <w:pPr>
        <w:tabs>
          <w:tab w:pos="340" w:val="left"/>
        </w:tabs>
        <w:ind w:left="340" w:hanging="340"/>
      </w:pPr>
      <w:r>
        <w:rPr>
          <w:b/>
          <w:color w:val="8C5A2B"/>
        </w:rPr>
        <w:t>3.</w:t>
        <w:tab/>
      </w:r>
      <w:r>
        <w:rPr>
          <w:b/>
        </w:rPr>
        <w:t>Die dritte Stufe streichen.</w:t>
      </w:r>
      <w:r>
        <w:t xml:space="preserve"> Formulare und Verfahren, die niemand braucht, um richtig zu handeln oder es zu zeigen, werden entfernt. Was gestrichen wird, wird nicht archiviert, sondern vernichtet.</w:t>
      </w:r>
    </w:p>
    <w:p>
      <w:pPr>
        <w:tabs>
          <w:tab w:pos="340" w:val="left"/>
        </w:tabs>
        <w:ind w:left="340" w:hanging="340"/>
      </w:pPr>
      <w:r>
        <w:rPr>
          <w:b/>
          <w:color w:val="8C5A2B"/>
        </w:rPr>
        <w:t>4.</w:t>
        <w:tab/>
      </w:r>
      <w:r>
        <w:rPr>
          <w:b/>
        </w:rPr>
        <w:t>Jede Information an ihrem Entstehungsort lassen.</w:t>
      </w:r>
      <w:r>
        <w:t xml:space="preserve"> Das System verweist auf die Reservationssoftware, die Personaldossiers und die Tabelle der Küche, statt sie zu kopieren. Private Ablagen werden auf das gemeinsame Laufwerk verlegt.</w:t>
      </w:r>
    </w:p>
    <w:p>
      <w:pPr>
        <w:tabs>
          <w:tab w:pos="340" w:val="left"/>
        </w:tabs>
        <w:ind w:left="340" w:hanging="340"/>
      </w:pPr>
      <w:r>
        <w:rPr>
          <w:b/>
          <w:color w:val="8C5A2B"/>
        </w:rPr>
        <w:t>5.</w:t>
        <w:tab/>
      </w:r>
      <w:r>
        <w:rPr>
          <w:b/>
        </w:rPr>
        <w:t>Gültige Fassungen kennzeichnen.</w:t>
      </w:r>
      <w:r>
        <w:t xml:space="preserve"> Jede Vorgabe trägt Datum und Freigabe. Die Politik gibt es in einer Fassung, aus der Website und Bankettmappe übernommen werden.</w:t>
      </w:r>
    </w:p>
    <w:p>
      <w:pPr>
        <w:tabs>
          <w:tab w:pos="340" w:val="left"/>
        </w:tabs>
        <w:ind w:left="340" w:hanging="340"/>
      </w:pPr>
      <w:r>
        <w:rPr>
          <w:b/>
          <w:color w:val="8C5A2B"/>
        </w:rPr>
        <w:t>6.</w:t>
        <w:tab/>
      </w:r>
      <w:r>
        <w:rPr>
          <w:b/>
        </w:rPr>
        <w:t>Zugriff und Löschung für Personendaten festlegen.</w:t>
      </w:r>
      <w:r>
        <w:t xml:space="preserve"> Wer sieht Teilnehmerlisten, wie lange werden sie aufbewahrt, wer löscht sie? Gesundheitsangaben gehören nicht an eine Pinnwand und nicht in ein Archiv ohne Ende.</w:t>
      </w:r>
    </w:p>
    <w:p>
      <w:pPr>
        <w:tabs>
          <w:tab w:pos="340" w:val="left"/>
        </w:tabs>
        <w:ind w:left="340" w:hanging="340"/>
      </w:pPr>
      <w:r>
        <w:rPr>
          <w:b/>
          <w:color w:val="8C5A2B"/>
        </w:rPr>
        <w:t>7.</w:t>
        <w:tab/>
      </w:r>
      <w:r>
        <w:rPr>
          <w:b/>
        </w:rPr>
        <w:t>Das Verzeichnis einmal im Jahr prüfen.</w:t>
      </w:r>
      <w:r>
        <w:t xml:space="preserve"> Stimmen Orte, Zuständigkeiten und Fristen noch? Abgelaufene Nachweise von Lieferanten werden ersetzt oder gestrichen.</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Die Pflichtliste aufschreiben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Die eigenen Papiere zählen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Die dritte Stufe streichen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Jede Information an ihrem Entstehungsort lassen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Gültige Fassungen kennzeichnen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Zugriff und Löschung für Personendaten festlegen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Das Verzeichnis einmal im Jahr prüfen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Gibt es ein Verzeichnis, das sagt, welche dokumentierte Information das System hat und wo sie liegt?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Ist jede von der Norm verlangte Information darin mit einer Zuständigkeit versehen?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Gibt es von der Politik genau eine gültige, datierte und unterzeichnete Fassung?</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Liegen Nachweise dort, wo sie entstehen, und nicht in Kopien daneben?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Werden Formulare, die niemand ausfüllt, gestrichen?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Ist geregelt, wer Teilnehmerlisten sieht und wann sie gelöscht werden?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Prüfen wir die Gültigkeit der Nachweise unserer Lieferanten?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Könnten wir einem Kunden die verlangten Nachweise binnen eines Tages schicken?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Ein Vorlagenpaket kaufen und ablegen.</w:t>
      </w:r>
      <w:r>
        <w:t xml:space="preserve"> Die Ordner beschreiben ein fremdes Haus, und im eigenen liest sie niemand.</w:t>
      </w:r>
    </w:p>
    <w:p>
      <w:pPr>
        <w:tabs>
          <w:tab w:pos="340" w:val="left"/>
        </w:tabs>
        <w:ind w:left="340" w:hanging="340"/>
      </w:pPr>
      <w:r>
        <w:rPr>
          <w:color w:val="8C5A2B"/>
        </w:rPr>
        <w:t>–</w:t>
        <w:tab/>
      </w:r>
      <w:r>
        <w:rPr>
          <w:b/>
        </w:rPr>
        <w:t>Vorgaben vorlegen, wenn Nachweise verlangt sind.</w:t>
      </w:r>
      <w:r>
        <w:t xml:space="preserve"> Der Kunde fragt, was getan wurde, nicht, was getan werden soll.</w:t>
      </w:r>
    </w:p>
    <w:p>
      <w:pPr>
        <w:tabs>
          <w:tab w:pos="340" w:val="left"/>
        </w:tabs>
        <w:ind w:left="340" w:hanging="340"/>
      </w:pPr>
      <w:r>
        <w:rPr>
          <w:color w:val="8C5A2B"/>
        </w:rPr>
        <w:t>–</w:t>
        <w:tab/>
      </w:r>
      <w:r>
        <w:rPr>
          <w:b/>
        </w:rPr>
        <w:t>Mehrere Fassungen umlaufen lassen.</w:t>
      </w:r>
      <w:r>
        <w:t xml:space="preserve"> Dann gilt keine, und jeder kann die passende zitieren.</w:t>
      </w:r>
    </w:p>
    <w:p>
      <w:pPr>
        <w:tabs>
          <w:tab w:pos="340" w:val="left"/>
        </w:tabs>
        <w:ind w:left="340" w:hanging="340"/>
      </w:pPr>
      <w:r>
        <w:rPr>
          <w:color w:val="8C5A2B"/>
        </w:rPr>
        <w:t>–</w:t>
        <w:tab/>
      </w:r>
      <w:r>
        <w:rPr>
          <w:b/>
        </w:rPr>
        <w:t>Die beste Zahl auf einem einzelnen Rechner führen.</w:t>
      </w:r>
      <w:r>
        <w:t xml:space="preserve"> Sie ist ungesichert und verschwindet mit der Person.</w:t>
      </w:r>
    </w:p>
    <w:p>
      <w:pPr>
        <w:tabs>
          <w:tab w:pos="340" w:val="left"/>
        </w:tabs>
        <w:ind w:left="340" w:hanging="340"/>
      </w:pPr>
      <w:r>
        <w:rPr>
          <w:color w:val="8C5A2B"/>
        </w:rPr>
        <w:t>–</w:t>
        <w:tab/>
      </w:r>
      <w:r>
        <w:rPr>
          <w:b/>
        </w:rPr>
        <w:t>Teilnehmerlisten aufbewahren, weil man sie hat.</w:t>
      </w:r>
      <w:r>
        <w:t xml:space="preserve"> Gesundheitsangaben bleiben ein Risiko, solange sie im Haus liegen.</w:t>
      </w:r>
    </w:p>
    <w:p>
      <w:pPr>
        <w:tabs>
          <w:tab w:pos="340" w:val="left"/>
        </w:tabs>
        <w:ind w:left="340" w:hanging="340"/>
      </w:pPr>
      <w:r>
        <w:rPr>
          <w:color w:val="8C5A2B"/>
        </w:rPr>
        <w:t>–</w:t>
        <w:tab/>
      </w:r>
      <w:r>
        <w:rPr>
          <w:b/>
        </w:rPr>
        <w:t>Lieferantenpapiere einmal ablegen und vergessen.</w:t>
      </w:r>
      <w:r>
        <w:t xml:space="preserve"> Ein abgelaufenes Zertifikat belegt nichts mehr.</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Jahresumsatz des Kunden, 22 Tagungen</w:t>
            </w:r>
          </w:p>
        </w:tc>
        <w:tc>
          <w:tcPr>
            <w:tcW w:type="dxa" w:w="1474"/>
          </w:tcPr>
          <w:p>
            <w:pPr>
              <w:spacing w:after="0" w:before="0"/>
            </w:pPr>
            <w:r/>
            <w:r>
              <w:rPr>
                <w:b w:val="0"/>
                <w:i w:val="0"/>
                <w:color w:val="1A1A1A"/>
                <w:sz w:val="18"/>
              </w:rPr>
              <w:t>CHF 310.000</w:t>
            </w:r>
          </w:p>
        </w:tc>
        <w:tc>
          <w:tcPr>
            <w:tcW w:type="dxa" w:w="3175"/>
          </w:tcPr>
          <w:p>
            <w:pPr>
              <w:spacing w:after="0" w:before="0"/>
            </w:pPr>
            <w:r/>
            <w:r>
              <w:rPr>
                <w:b w:val="0"/>
                <w:i w:val="0"/>
                <w:color w:val="1A1A1A"/>
                <w:sz w:val="18"/>
              </w:rPr>
              <w:t>Räume, Verpflegung, Technik, Zimmer</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Vorlagenpaket, bereits bezahlt</w:t>
            </w:r>
          </w:p>
        </w:tc>
        <w:tc>
          <w:tcPr>
            <w:tcW w:type="dxa" w:w="1474"/>
            <w:shd w:val="clear" w:color="auto" w:fill="F3EFE6"/>
          </w:tcPr>
          <w:p>
            <w:pPr>
              <w:spacing w:after="0" w:before="0"/>
            </w:pPr>
            <w:r/>
            <w:r>
              <w:rPr>
                <w:b w:val="0"/>
                <w:i w:val="0"/>
                <w:color w:val="1A1A1A"/>
                <w:sz w:val="18"/>
              </w:rPr>
              <w:t>CHF 2.400</w:t>
            </w:r>
          </w:p>
        </w:tc>
        <w:tc>
          <w:tcPr>
            <w:tcW w:type="dxa" w:w="3175"/>
            <w:shd w:val="clear" w:color="auto" w:fill="F3EFE6"/>
          </w:tcPr>
          <w:p>
            <w:pPr>
              <w:spacing w:after="0" w:before="0"/>
            </w:pPr>
            <w:r/>
            <w:r>
              <w:rPr>
                <w:b w:val="0"/>
                <w:i w:val="0"/>
                <w:color w:val="1A1A1A"/>
                <w:sz w:val="18"/>
              </w:rPr>
              <w:t>einmalig; zum grössten Teil nicht verwendet</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Bestandsaufnahme der drei Ordner und der Betriebspapiere</w:t>
            </w:r>
          </w:p>
        </w:tc>
        <w:tc>
          <w:tcPr>
            <w:tcW w:type="dxa" w:w="1474"/>
          </w:tcPr>
          <w:p>
            <w:pPr>
              <w:spacing w:after="0" w:before="0"/>
            </w:pPr>
            <w:r/>
            <w:r>
              <w:rPr>
                <w:b w:val="0"/>
                <w:i w:val="0"/>
                <w:color w:val="1A1A1A"/>
                <w:sz w:val="18"/>
              </w:rPr>
              <w:t>24 Stunden</w:t>
            </w:r>
          </w:p>
        </w:tc>
        <w:tc>
          <w:tcPr>
            <w:tcW w:type="dxa" w:w="3175"/>
          </w:tcPr>
          <w:p>
            <w:pPr>
              <w:spacing w:after="0" w:before="0"/>
            </w:pPr>
            <w:r/>
            <w:r>
              <w:rPr>
                <w:b w:val="0"/>
                <w:i w:val="0"/>
                <w:color w:val="1A1A1A"/>
                <w:sz w:val="18"/>
              </w:rPr>
              <w:t>einmalig, Qualitätsverantwortlicher</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Verzeichnis und Ablage auf dem gemeinsamen Laufwerk</w:t>
            </w:r>
          </w:p>
        </w:tc>
        <w:tc>
          <w:tcPr>
            <w:tcW w:type="dxa" w:w="1474"/>
            <w:shd w:val="clear" w:color="auto" w:fill="F3EFE6"/>
          </w:tcPr>
          <w:p>
            <w:pPr>
              <w:spacing w:after="0" w:before="0"/>
            </w:pPr>
            <w:r/>
            <w:r>
              <w:rPr>
                <w:b w:val="0"/>
                <w:i w:val="0"/>
                <w:color w:val="1A1A1A"/>
                <w:sz w:val="18"/>
              </w:rPr>
              <w:t>32 Stunden</w:t>
            </w:r>
          </w:p>
        </w:tc>
        <w:tc>
          <w:tcPr>
            <w:tcW w:type="dxa" w:w="3175"/>
            <w:shd w:val="clear" w:color="auto" w:fill="F3EFE6"/>
          </w:tcPr>
          <w:p>
            <w:pPr>
              <w:spacing w:after="0" w:before="0"/>
            </w:pPr>
            <w:r/>
            <w:r>
              <w:rPr>
                <w:b w:val="0"/>
                <w:i w:val="0"/>
                <w:color w:val="1A1A1A"/>
                <w:sz w:val="18"/>
              </w:rPr>
              <w:t>einmalig, Qualitätsverantwortlicher und Bankettleiterin</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Teilnehmerlisten: Zugriffsregel, Löschfrist, Bereinigung der Altbestände</w:t>
            </w:r>
          </w:p>
        </w:tc>
        <w:tc>
          <w:tcPr>
            <w:tcW w:type="dxa" w:w="1474"/>
          </w:tcPr>
          <w:p>
            <w:pPr>
              <w:spacing w:after="0" w:before="0"/>
            </w:pPr>
            <w:r/>
            <w:r>
              <w:rPr>
                <w:b w:val="0"/>
                <w:i w:val="0"/>
                <w:color w:val="1A1A1A"/>
                <w:sz w:val="18"/>
              </w:rPr>
              <w:t>16 Stunden</w:t>
            </w:r>
          </w:p>
        </w:tc>
        <w:tc>
          <w:tcPr>
            <w:tcW w:type="dxa" w:w="3175"/>
          </w:tcPr>
          <w:p>
            <w:pPr>
              <w:spacing w:after="0" w:before="0"/>
            </w:pPr>
            <w:r/>
            <w:r>
              <w:rPr>
                <w:b w:val="0"/>
                <w:i w:val="0"/>
                <w:color w:val="1A1A1A"/>
                <w:sz w:val="18"/>
              </w:rPr>
              <w:t>einmalig, Bankettleitung und Rezeption</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Einweisung von 16 Bankettmitarbeitenden in die Ablage, je 30 Minuten</w:t>
            </w:r>
          </w:p>
        </w:tc>
        <w:tc>
          <w:tcPr>
            <w:tcW w:type="dxa" w:w="1474"/>
            <w:shd w:val="clear" w:color="auto" w:fill="F3EFE6"/>
          </w:tcPr>
          <w:p>
            <w:pPr>
              <w:spacing w:after="0" w:before="0"/>
            </w:pPr>
            <w:r/>
            <w:r>
              <w:rPr>
                <w:b w:val="0"/>
                <w:i w:val="0"/>
                <w:color w:val="1A1A1A"/>
                <w:sz w:val="18"/>
              </w:rPr>
              <w:t>8 Stunden</w:t>
            </w:r>
          </w:p>
        </w:tc>
        <w:tc>
          <w:tcPr>
            <w:tcW w:type="dxa" w:w="3175"/>
            <w:shd w:val="clear" w:color="auto" w:fill="F3EFE6"/>
          </w:tcPr>
          <w:p>
            <w:pPr>
              <w:spacing w:after="0" w:before="0"/>
            </w:pPr>
            <w:r/>
            <w:r>
              <w:rPr>
                <w:b w:val="0"/>
                <w:i w:val="0"/>
                <w:color w:val="1A1A1A"/>
                <w:sz w:val="18"/>
              </w:rPr>
              <w:t>einmalig</w:t>
            </w:r>
          </w:p>
        </w:tc>
        <w:tc>
          <w:tcPr>
            <w:tcW w:type="dxa" w:w="1814"/>
            <w:shd w:val="clear" w:color="auto" w:fill="F3EFE6"/>
          </w:tcPr>
          <w:p>
            <w:pPr>
              <w:spacing w:after="0" w:before="0"/>
            </w:pPr>
            <w:r/>
            <w:r>
              <w:rPr>
                <w:b w:val="0"/>
                <w:i w:val="0"/>
                <w:color w:val="1A1A1A"/>
                <w:sz w:val="18"/>
              </w:rPr>
            </w:r>
          </w:p>
        </w:tc>
      </w:tr>
    </w:tbl>
    <w:p>
      <w:pPr>
        <w:spacing w:after="40"/>
      </w:pPr>
    </w:p>
    <w:p>
      <w:r>
        <w:rPr>
          <w:b w:val="0"/>
          <w:i w:val="0"/>
        </w:rPr>
        <w:t>Achtzig Stunden eigener Arbeit stehen gegen einen Kunden mit CHF 310.000 Umsatz im Jahr. Die Rechnung behauptet nicht, dass das Audit damit bestanden ist. Sie zeigt, was die schlanke Ablage einmalig kostet und dass sie danach weniger Pflege verlangt als drei Ordner, die niemand liest.</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 (Norm)</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Anhang oder Methode</w:t>
            </w:r>
          </w:p>
        </w:tc>
      </w:tr>
      <w:tr>
        <w:trPr>
          <w:cantSplit w:val="true"/>
        </w:trPr>
        <w:tc>
          <w:tcPr>
            <w:tcW w:type="dxa" w:w="3288"/>
          </w:tcPr>
          <w:p>
            <w:pPr>
              <w:spacing w:after="0" w:before="0"/>
            </w:pPr>
            <w:r/>
            <w:r>
              <w:rPr>
                <w:b w:val="0"/>
                <w:i w:val="0"/>
                <w:color w:val="1A1A1A"/>
                <w:sz w:val="18"/>
              </w:rPr>
              <w:t>Von der Norm verlangte und vom Haus bestimmte Information (7.5.1)</w:t>
            </w:r>
          </w:p>
        </w:tc>
        <w:tc>
          <w:tcPr>
            <w:tcW w:type="dxa" w:w="3175"/>
          </w:tcPr>
          <w:p>
            <w:pPr>
              <w:spacing w:after="0" w:before="0"/>
            </w:pPr>
            <w:r/>
            <w:r>
              <w:rPr>
                <w:b w:val="0"/>
                <w:i w:val="0"/>
                <w:color w:val="1A1A1A"/>
                <w:sz w:val="18"/>
              </w:rPr>
              <w:t>Verzeichnis mit Ort und Zuständigkeit</w:t>
            </w:r>
          </w:p>
        </w:tc>
        <w:tc>
          <w:tcPr>
            <w:tcW w:type="dxa" w:w="3175"/>
          </w:tcPr>
          <w:p>
            <w:pPr>
              <w:spacing w:after="0" w:before="0"/>
            </w:pPr>
            <w:r/>
            <w:r>
              <w:rPr>
                <w:b w:val="0"/>
                <w:i w:val="0"/>
                <w:color w:val="1A1A1A"/>
                <w:sz w:val="18"/>
              </w:rPr>
              <w:t>Methode: drei Stufen, die dritte weglassen</w:t>
            </w:r>
          </w:p>
        </w:tc>
      </w:tr>
      <w:tr>
        <w:trPr>
          <w:cantSplit w:val="true"/>
        </w:trPr>
        <w:tc>
          <w:tcPr>
            <w:tcW w:type="dxa" w:w="3288"/>
            <w:shd w:val="clear" w:color="auto" w:fill="F3EFE6"/>
          </w:tcPr>
          <w:p>
            <w:pPr>
              <w:spacing w:after="0" w:before="0"/>
            </w:pPr>
            <w:r/>
            <w:r>
              <w:rPr>
                <w:b w:val="0"/>
                <w:i w:val="0"/>
                <w:color w:val="1A1A1A"/>
                <w:sz w:val="18"/>
              </w:rPr>
              <w:t>Kennzeichnung, Format, Prüfung und Freigabe (7.5.2)</w:t>
            </w:r>
          </w:p>
        </w:tc>
        <w:tc>
          <w:tcPr>
            <w:tcW w:type="dxa" w:w="3175"/>
            <w:shd w:val="clear" w:color="auto" w:fill="F3EFE6"/>
          </w:tcPr>
          <w:p>
            <w:pPr>
              <w:spacing w:after="0" w:before="0"/>
            </w:pPr>
            <w:r/>
            <w:r>
              <w:rPr>
                <w:b w:val="0"/>
                <w:i w:val="0"/>
                <w:color w:val="1A1A1A"/>
                <w:sz w:val="18"/>
              </w:rPr>
              <w:t>Politik mit Datum und Unterschrift; Fassungsvermerk</w:t>
            </w:r>
          </w:p>
        </w:tc>
        <w:tc>
          <w:tcPr>
            <w:tcW w:type="dxa" w:w="3175"/>
            <w:shd w:val="clear" w:color="auto" w:fill="F3EFE6"/>
          </w:tcPr>
          <w:p>
            <w:pPr>
              <w:spacing w:after="0" w:before="0"/>
            </w:pPr>
            <w:r/>
            <w:r>
              <w:rPr>
                <w:b w:val="0"/>
                <w:i w:val="0"/>
                <w:color w:val="1A1A1A"/>
                <w:sz w:val="18"/>
              </w:rPr>
              <w:t>Methode: eine Quelle für Website und Mappe</w:t>
            </w:r>
          </w:p>
        </w:tc>
      </w:tr>
      <w:tr>
        <w:trPr>
          <w:cantSplit w:val="true"/>
        </w:trPr>
        <w:tc>
          <w:tcPr>
            <w:tcW w:type="dxa" w:w="3288"/>
          </w:tcPr>
          <w:p>
            <w:pPr>
              <w:spacing w:after="0" w:before="0"/>
            </w:pPr>
            <w:r/>
            <w:r>
              <w:rPr>
                <w:b w:val="0"/>
                <w:i w:val="0"/>
                <w:color w:val="1A1A1A"/>
                <w:sz w:val="18"/>
              </w:rPr>
              <w:t>Verfügbar und geschützt; Zugriff, Aufbewahrung, Entsorgung (7.5.3)</w:t>
            </w:r>
          </w:p>
        </w:tc>
        <w:tc>
          <w:tcPr>
            <w:tcW w:type="dxa" w:w="3175"/>
          </w:tcPr>
          <w:p>
            <w:pPr>
              <w:spacing w:after="0" w:before="0"/>
            </w:pPr>
            <w:r/>
            <w:r>
              <w:rPr>
                <w:b w:val="0"/>
                <w:i w:val="0"/>
                <w:color w:val="1A1A1A"/>
                <w:sz w:val="18"/>
              </w:rPr>
              <w:t>Zugriffsregel und Löschfrist für Teilnehmerlisten</w:t>
            </w:r>
          </w:p>
        </w:tc>
        <w:tc>
          <w:tcPr>
            <w:tcW w:type="dxa" w:w="3175"/>
          </w:tcPr>
          <w:p>
            <w:pPr>
              <w:spacing w:after="0" w:before="0"/>
            </w:pPr>
            <w:r/>
            <w:r>
              <w:rPr>
                <w:b w:val="0"/>
                <w:i w:val="0"/>
                <w:color w:val="1A1A1A"/>
                <w:sz w:val="18"/>
              </w:rPr>
              <w:t>Methode: Löschtermin im Bankettformular</w:t>
            </w:r>
          </w:p>
        </w:tc>
      </w:tr>
      <w:tr>
        <w:trPr>
          <w:cantSplit w:val="true"/>
        </w:trPr>
        <w:tc>
          <w:tcPr>
            <w:tcW w:type="dxa" w:w="3288"/>
            <w:shd w:val="clear" w:color="auto" w:fill="F3EFE6"/>
          </w:tcPr>
          <w:p>
            <w:pPr>
              <w:spacing w:after="0" w:before="0"/>
            </w:pPr>
            <w:r/>
            <w:r>
              <w:rPr>
                <w:b w:val="0"/>
                <w:i w:val="0"/>
                <w:color w:val="1A1A1A"/>
                <w:sz w:val="18"/>
              </w:rPr>
              <w:t>Externe Dokumente lenken (7.5.3)</w:t>
            </w:r>
          </w:p>
        </w:tc>
        <w:tc>
          <w:tcPr>
            <w:tcW w:type="dxa" w:w="3175"/>
            <w:shd w:val="clear" w:color="auto" w:fill="F3EFE6"/>
          </w:tcPr>
          <w:p>
            <w:pPr>
              <w:spacing w:after="0" w:before="0"/>
            </w:pPr>
            <w:r/>
            <w:r>
              <w:rPr>
                <w:b w:val="0"/>
                <w:i w:val="0"/>
                <w:color w:val="1A1A1A"/>
                <w:sz w:val="18"/>
              </w:rPr>
              <w:t>Liste der Lieferantennachweise mit Ablaufdatum</w:t>
            </w:r>
          </w:p>
        </w:tc>
        <w:tc>
          <w:tcPr>
            <w:tcW w:type="dxa" w:w="3175"/>
            <w:shd w:val="clear" w:color="auto" w:fill="F3EFE6"/>
          </w:tcPr>
          <w:p>
            <w:pPr>
              <w:spacing w:after="0" w:before="0"/>
            </w:pPr>
            <w:r/>
            <w:r>
              <w:rPr>
                <w:b w:val="0"/>
                <w:i w:val="0"/>
                <w:color w:val="1A1A1A"/>
                <w:sz w:val="18"/>
              </w:rPr>
              <w:t>Anhang B zur Lieferkette</w:t>
            </w:r>
          </w:p>
        </w:tc>
      </w:tr>
      <w:tr>
        <w:trPr>
          <w:cantSplit w:val="true"/>
        </w:trPr>
        <w:tc>
          <w:tcPr>
            <w:tcW w:type="dxa" w:w="3288"/>
          </w:tcPr>
          <w:p>
            <w:pPr>
              <w:spacing w:after="0" w:before="0"/>
            </w:pPr>
            <w:r/>
            <w:r>
              <w:rPr>
                <w:b w:val="0"/>
                <w:i w:val="0"/>
                <w:color w:val="1A1A1A"/>
                <w:sz w:val="18"/>
              </w:rPr>
              <w:t>Kompetenznachweis (7.2)</w:t>
            </w:r>
          </w:p>
        </w:tc>
        <w:tc>
          <w:tcPr>
            <w:tcW w:type="dxa" w:w="3175"/>
          </w:tcPr>
          <w:p>
            <w:pPr>
              <w:spacing w:after="0" w:before="0"/>
            </w:pPr>
            <w:r/>
            <w:r>
              <w:rPr>
                <w:b w:val="0"/>
                <w:i w:val="0"/>
                <w:color w:val="1A1A1A"/>
                <w:sz w:val="18"/>
              </w:rPr>
              <w:t>Dossiers, Liste der Einweisungen von Aushilfen</w:t>
            </w:r>
          </w:p>
        </w:tc>
        <w:tc>
          <w:tcPr>
            <w:tcW w:type="dxa" w:w="3175"/>
          </w:tcPr>
          <w:p>
            <w:pPr>
              <w:spacing w:after="0" w:before="0"/>
            </w:pPr>
            <w:r/>
            <w:r>
              <w:rPr>
                <w:b w:val="0"/>
                <w:i w:val="0"/>
                <w:color w:val="1A1A1A"/>
                <w:sz w:val="18"/>
              </w:rPr>
              <w:t>keine</w:t>
            </w:r>
          </w:p>
        </w:tc>
      </w:tr>
      <w:tr>
        <w:trPr>
          <w:cantSplit w:val="true"/>
        </w:trPr>
        <w:tc>
          <w:tcPr>
            <w:tcW w:type="dxa" w:w="3288"/>
            <w:shd w:val="clear" w:color="auto" w:fill="F3EFE6"/>
          </w:tcPr>
          <w:p>
            <w:pPr>
              <w:spacing w:after="0" w:before="0"/>
            </w:pPr>
            <w:r/>
            <w:r>
              <w:rPr>
                <w:b w:val="0"/>
                <w:i w:val="0"/>
                <w:color w:val="1A1A1A"/>
                <w:sz w:val="18"/>
              </w:rPr>
              <w:t>Nachweise zu Leistung und Lehren (9.1)</w:t>
            </w:r>
          </w:p>
        </w:tc>
        <w:tc>
          <w:tcPr>
            <w:tcW w:type="dxa" w:w="3175"/>
            <w:shd w:val="clear" w:color="auto" w:fill="F3EFE6"/>
          </w:tcPr>
          <w:p>
            <w:pPr>
              <w:spacing w:after="0" w:before="0"/>
            </w:pPr>
            <w:r/>
            <w:r>
              <w:rPr>
                <w:b w:val="0"/>
                <w:i w:val="0"/>
                <w:color w:val="1A1A1A"/>
                <w:sz w:val="18"/>
              </w:rPr>
              <w:t>Tabelle der Speisereste; Notiz nach jedem Anlass</w:t>
            </w:r>
          </w:p>
        </w:tc>
        <w:tc>
          <w:tcPr>
            <w:tcW w:type="dxa" w:w="3175"/>
            <w:shd w:val="clear" w:color="auto" w:fill="F3EFE6"/>
          </w:tcPr>
          <w:p>
            <w:pPr>
              <w:spacing w:after="0" w:before="0"/>
            </w:pPr>
            <w:r/>
            <w:r>
              <w:rPr>
                <w:b w:val="0"/>
                <w:i w:val="0"/>
                <w:color w:val="1A1A1A"/>
                <w:sz w:val="18"/>
              </w:rPr>
              <w:t>A.20: Überwachung nicht belastend</w:t>
            </w:r>
          </w:p>
        </w:tc>
      </w:tr>
    </w:tbl>
    <w:p>
      <w:pPr>
        <w:spacing w:after="40"/>
      </w:pPr>
    </w:p>
    <w:p>
      <w:pPr>
        <w:pStyle w:val="Heading2"/>
      </w:pPr>
      <w:r>
        <w:t>DACH-Anker: Personendaten und Aufbewahrung</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Rechtsgrundlage Datenschutz</w:t>
            </w:r>
          </w:p>
        </w:tc>
        <w:tc>
          <w:tcPr>
            <w:tcW w:type="dxa" w:w="2721"/>
          </w:tcPr>
          <w:p>
            <w:pPr>
              <w:spacing w:after="0" w:before="0"/>
            </w:pPr>
            <w:r/>
            <w:r>
              <w:rPr>
                <w:b w:val="0"/>
                <w:i w:val="0"/>
                <w:color w:val="1A1A1A"/>
                <w:sz w:val="17"/>
              </w:rPr>
              <w:t>Datenschutz-Grundverordnung</w:t>
            </w:r>
          </w:p>
        </w:tc>
        <w:tc>
          <w:tcPr>
            <w:tcW w:type="dxa" w:w="2721"/>
          </w:tcPr>
          <w:p>
            <w:pPr>
              <w:spacing w:after="0" w:before="0"/>
            </w:pPr>
            <w:r/>
            <w:r>
              <w:rPr>
                <w:b w:val="0"/>
                <w:i w:val="0"/>
                <w:color w:val="1A1A1A"/>
                <w:sz w:val="17"/>
              </w:rPr>
              <w:t>Datenschutz-Grundverordnung</w:t>
            </w:r>
          </w:p>
        </w:tc>
        <w:tc>
          <w:tcPr>
            <w:tcW w:type="dxa" w:w="2721"/>
          </w:tcPr>
          <w:p>
            <w:pPr>
              <w:spacing w:after="0" w:before="0"/>
            </w:pPr>
            <w:r/>
            <w:r>
              <w:rPr>
                <w:b w:val="0"/>
                <w:i w:val="0"/>
                <w:color w:val="1A1A1A"/>
                <w:sz w:val="17"/>
              </w:rPr>
              <w:t>Datenschutzgesetz, totalrevidiert, in Kraft seit 1. September 2023</w:t>
            </w:r>
          </w:p>
        </w:tc>
      </w:tr>
      <w:tr>
        <w:trPr>
          <w:cantSplit w:val="true"/>
        </w:trPr>
        <w:tc>
          <w:tcPr>
            <w:tcW w:type="dxa" w:w="1474"/>
            <w:shd w:val="clear" w:color="auto" w:fill="F3EFE6"/>
          </w:tcPr>
          <w:p>
            <w:pPr>
              <w:spacing w:after="0" w:before="0"/>
            </w:pPr>
            <w:r/>
            <w:r>
              <w:rPr>
                <w:b w:val="0"/>
                <w:i w:val="0"/>
                <w:color w:val="1A1A1A"/>
                <w:sz w:val="17"/>
              </w:rPr>
              <w:t>Angaben über die Gesundheit</w:t>
            </w:r>
          </w:p>
        </w:tc>
        <w:tc>
          <w:tcPr>
            <w:tcW w:type="dxa" w:w="2721"/>
            <w:shd w:val="clear" w:color="auto" w:fill="F3EFE6"/>
          </w:tcPr>
          <w:p>
            <w:pPr>
              <w:spacing w:after="0" w:before="0"/>
            </w:pPr>
            <w:r/>
            <w:r>
              <w:rPr>
                <w:b w:val="0"/>
                <w:i w:val="0"/>
                <w:color w:val="1A1A1A"/>
                <w:sz w:val="17"/>
              </w:rPr>
              <w:t>besondere Kategorie (Art. 9 DSGVO)</w:t>
            </w:r>
          </w:p>
        </w:tc>
        <w:tc>
          <w:tcPr>
            <w:tcW w:type="dxa" w:w="2721"/>
            <w:shd w:val="clear" w:color="auto" w:fill="F3EFE6"/>
          </w:tcPr>
          <w:p>
            <w:pPr>
              <w:spacing w:after="0" w:before="0"/>
            </w:pPr>
            <w:r/>
            <w:r>
              <w:rPr>
                <w:b w:val="0"/>
                <w:i w:val="0"/>
                <w:color w:val="1A1A1A"/>
                <w:sz w:val="17"/>
              </w:rPr>
              <w:t>besondere Kategorie (Art. 9 DSGVO)</w:t>
            </w:r>
          </w:p>
        </w:tc>
        <w:tc>
          <w:tcPr>
            <w:tcW w:type="dxa" w:w="2721"/>
            <w:shd w:val="clear" w:color="auto" w:fill="F3EFE6"/>
          </w:tcPr>
          <w:p>
            <w:pPr>
              <w:spacing w:after="0" w:before="0"/>
            </w:pPr>
            <w:r/>
            <w:r>
              <w:rPr>
                <w:b w:val="0"/>
                <w:i w:val="0"/>
                <w:color w:val="1A1A1A"/>
                <w:sz w:val="17"/>
              </w:rPr>
              <w:t>besonders schützenswerte Personendaten (Art. 5 lit. c DSG)</w:t>
            </w:r>
          </w:p>
        </w:tc>
      </w:tr>
      <w:tr>
        <w:trPr>
          <w:cantSplit w:val="true"/>
        </w:trPr>
        <w:tc>
          <w:tcPr>
            <w:tcW w:type="dxa" w:w="1474"/>
          </w:tcPr>
          <w:p>
            <w:pPr>
              <w:spacing w:after="0" w:before="0"/>
            </w:pPr>
            <w:r/>
            <w:r>
              <w:rPr>
                <w:b w:val="0"/>
                <w:i w:val="0"/>
                <w:color w:val="1A1A1A"/>
                <w:sz w:val="17"/>
              </w:rPr>
              <w:t>Verzeichnis der Bearbeitungen</w:t>
            </w:r>
          </w:p>
        </w:tc>
        <w:tc>
          <w:tcPr>
            <w:tcW w:type="dxa" w:w="2721"/>
          </w:tcPr>
          <w:p>
            <w:pPr>
              <w:spacing w:after="0" w:before="0"/>
            </w:pPr>
            <w:r/>
            <w:r>
              <w:rPr>
                <w:b w:val="0"/>
                <w:i w:val="0"/>
                <w:color w:val="1A1A1A"/>
                <w:sz w:val="17"/>
              </w:rPr>
              <w:t>Art. 30 DSGVO; Ausnahme unter 250 Beschäftigten entfällt bei nicht nur gelegentlicher Verarbeitung</w:t>
            </w:r>
          </w:p>
        </w:tc>
        <w:tc>
          <w:tcPr>
            <w:tcW w:type="dxa" w:w="2721"/>
          </w:tcPr>
          <w:p>
            <w:pPr>
              <w:spacing w:after="0" w:before="0"/>
            </w:pPr>
            <w:r/>
            <w:r>
              <w:rPr>
                <w:b w:val="0"/>
                <w:i w:val="0"/>
                <w:color w:val="1A1A1A"/>
                <w:sz w:val="17"/>
              </w:rPr>
              <w:t>wie Deutschland</w:t>
            </w:r>
          </w:p>
        </w:tc>
        <w:tc>
          <w:tcPr>
            <w:tcW w:type="dxa" w:w="2721"/>
          </w:tcPr>
          <w:p>
            <w:pPr>
              <w:spacing w:after="0" w:before="0"/>
            </w:pPr>
            <w:r/>
            <w:r>
              <w:rPr>
                <w:b w:val="0"/>
                <w:i w:val="0"/>
                <w:color w:val="1A1A1A"/>
                <w:sz w:val="17"/>
              </w:rPr>
              <w:t>Art. 12 DSG; Ausnahme unter 250 Mitarbeitenden, ausser bei umfangreichen besonders schützenswerten Daten (Art. 24 DSV)</w:t>
            </w:r>
          </w:p>
        </w:tc>
      </w:tr>
      <w:tr>
        <w:trPr>
          <w:cantSplit w:val="true"/>
        </w:trPr>
        <w:tc>
          <w:tcPr>
            <w:tcW w:type="dxa" w:w="1474"/>
            <w:shd w:val="clear" w:color="auto" w:fill="F3EFE6"/>
          </w:tcPr>
          <w:p>
            <w:pPr>
              <w:spacing w:after="0" w:before="0"/>
            </w:pPr>
            <w:r/>
            <w:r>
              <w:rPr>
                <w:b w:val="0"/>
                <w:i w:val="0"/>
                <w:color w:val="1A1A1A"/>
                <w:sz w:val="17"/>
              </w:rPr>
              <w:t>Verletzung der Datensicherheit</w:t>
            </w:r>
          </w:p>
        </w:tc>
        <w:tc>
          <w:tcPr>
            <w:tcW w:type="dxa" w:w="2721"/>
            <w:shd w:val="clear" w:color="auto" w:fill="F3EFE6"/>
          </w:tcPr>
          <w:p>
            <w:pPr>
              <w:spacing w:after="0" w:before="0"/>
            </w:pPr>
            <w:r/>
            <w:r>
              <w:rPr>
                <w:b w:val="0"/>
                <w:i w:val="0"/>
                <w:color w:val="1A1A1A"/>
                <w:sz w:val="17"/>
              </w:rPr>
              <w:t>Meldung an die Aufsichtsbehörde unverzüglich und möglichst binnen 72 Stunden ab Kenntnis, ausser wenn voraussichtlich kein Risiko besteht für die Betroffenen; Gründe einer Verzögerung angeben; jede Verletzung dokumentieren, auch die Entscheidung, nicht zu melden (Art. 33 DSGVO)</w:t>
            </w:r>
          </w:p>
        </w:tc>
        <w:tc>
          <w:tcPr>
            <w:tcW w:type="dxa" w:w="2721"/>
            <w:shd w:val="clear" w:color="auto" w:fill="F3EFE6"/>
          </w:tcPr>
          <w:p>
            <w:pPr>
              <w:spacing w:after="0" w:before="0"/>
            </w:pPr>
            <w:r/>
            <w:r>
              <w:rPr>
                <w:b w:val="0"/>
                <w:i w:val="0"/>
                <w:color w:val="1A1A1A"/>
                <w:sz w:val="17"/>
              </w:rPr>
              <w:t>wie Deutschland</w:t>
            </w:r>
          </w:p>
        </w:tc>
        <w:tc>
          <w:tcPr>
            <w:tcW w:type="dxa" w:w="2721"/>
            <w:shd w:val="clear" w:color="auto" w:fill="F3EFE6"/>
          </w:tcPr>
          <w:p>
            <w:pPr>
              <w:spacing w:after="0" w:before="0"/>
            </w:pPr>
            <w:r/>
            <w:r>
              <w:rPr>
                <w:b w:val="0"/>
                <w:i w:val="0"/>
                <w:color w:val="1A1A1A"/>
                <w:sz w:val="17"/>
              </w:rPr>
              <w:t>Meldung an den EDÖB so rasch als möglich bei voraussichtlich hohem Risiko (Art. 24 DSG)</w:t>
            </w:r>
          </w:p>
        </w:tc>
      </w:tr>
      <w:tr>
        <w:trPr>
          <w:cantSplit w:val="true"/>
        </w:trPr>
        <w:tc>
          <w:tcPr>
            <w:tcW w:type="dxa" w:w="1474"/>
          </w:tcPr>
          <w:p>
            <w:pPr>
              <w:spacing w:after="0" w:before="0"/>
            </w:pPr>
            <w:r/>
            <w:r>
              <w:rPr>
                <w:b w:val="0"/>
                <w:i w:val="0"/>
                <w:color w:val="1A1A1A"/>
                <w:sz w:val="17"/>
              </w:rPr>
              <w:t>Aufbewahrung von Geschäftsunterlagen</w:t>
            </w:r>
          </w:p>
        </w:tc>
        <w:tc>
          <w:tcPr>
            <w:tcW w:type="dxa" w:w="2721"/>
          </w:tcPr>
          <w:p>
            <w:pPr>
              <w:spacing w:after="0" w:before="0"/>
            </w:pPr>
            <w:r/>
            <w:r>
              <w:rPr>
                <w:b w:val="0"/>
                <w:i w:val="0"/>
                <w:color w:val="1A1A1A"/>
                <w:sz w:val="17"/>
              </w:rPr>
              <w:t>Bücher 10, Buchungsbelege 8, Handelsbriefe 6 Jahre (HGB § 257, AO § 147)</w:t>
            </w:r>
          </w:p>
        </w:tc>
        <w:tc>
          <w:tcPr>
            <w:tcW w:type="dxa" w:w="2721"/>
          </w:tcPr>
          <w:p>
            <w:pPr>
              <w:spacing w:after="0" w:before="0"/>
            </w:pPr>
            <w:r/>
            <w:r>
              <w:rPr>
                <w:b w:val="0"/>
                <w:i w:val="0"/>
                <w:color w:val="1A1A1A"/>
                <w:sz w:val="17"/>
              </w:rPr>
              <w:t>7 Jahre (BAO, UGB § 212)</w:t>
            </w:r>
          </w:p>
        </w:tc>
        <w:tc>
          <w:tcPr>
            <w:tcW w:type="dxa" w:w="2721"/>
          </w:tcPr>
          <w:p>
            <w:pPr>
              <w:spacing w:after="0" w:before="0"/>
            </w:pPr>
            <w:r/>
            <w:r>
              <w:rPr>
                <w:b w:val="0"/>
                <w:i w:val="0"/>
                <w:color w:val="1A1A1A"/>
                <w:sz w:val="17"/>
              </w:rPr>
              <w:t>10 Jahre (Art. 958f OR)</w:t>
            </w:r>
          </w:p>
        </w:tc>
      </w:tr>
    </w:tbl>
    <w:p>
      <w:pPr>
        <w:spacing w:after="40"/>
      </w:pPr>
    </w:p>
    <w:p>
      <w:r>
        <w:rPr>
          <w:b w:val="0"/>
          <w:i w:val="0"/>
          <w:color w:val="5A5A5A"/>
          <w:sz w:val="17"/>
        </w:rPr>
        <w:t>Stand der Tabelle: 22. Oktober 2026, wie im Buch. Die laufende Fassung mit Änderungen nach diesem Stichtag steht in Band8a_Rechtsanker_DACH_laufend.xlsx. Die Tabelle ersetzt keine Prüfung der geltenden Fassung und keine Rechtsberatung im Einzelfall.</w:t>
      </w:r>
    </w:p>
    <w:p>
      <w:r>
        <w:rPr>
          <w:b w:val="0"/>
          <w:i w:val="0"/>
          <w:color w:val="5A5A5A"/>
          <w:sz w:val="17"/>
        </w:rPr>
        <w:t>Quelle: Francesco Dore, Das Steuer und die Lupe, Band 8a «Das Fest und seine Spuren», Abschnitt 2.13.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2.13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8a · ISO 20121 — Das Fest und seine Spuren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2.13 — Die dokumentierte Information ordnen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