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2.14</w:t>
      </w:r>
    </w:p>
    <w:p>
      <w:pPr>
        <w:pStyle w:val="Heading1"/>
      </w:pPr>
      <w:r>
        <w:t>Kompetenz und Bewusstsein für einen Veranstaltungsabend sichern</w:t>
      </w:r>
    </w:p>
    <w:p>
      <w:pPr>
        <w:spacing w:after="0"/>
      </w:pPr>
      <w:r>
        <w:rPr>
          <w:b w:val="0"/>
          <w:i/>
          <w:color w:val="5A5A5A"/>
        </w:rPr>
        <w:t>Abschnitt 2.14 · Kompetenz und Bewusstsein</w:t>
      </w:r>
    </w:p>
    <w:p>
      <w:pPr>
        <w:spacing w:after="160"/>
      </w:pPr>
      <w:r>
        <w:rPr>
          <w:b w:val="0"/>
          <w:i w:val="0"/>
          <w:color w:val="5A5A5A"/>
          <w:sz w:val="18"/>
        </w:rPr>
        <w:t>Modellfall im Buch: Baden bei Wien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bei Ihrem nächsten Ball um Mitternacht mehr Menschen im Saal servieren, die nicht bei Ihnen angestellt sind, als solche, die es sind: Wissen diese Menschen, was Ihr Haus dem Kunden zugesagt hat? Und könnten Sie zeigen, dass sie es wissen?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Rollen am Ballabend</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Rolle</w:t>
            </w:r>
          </w:p>
        </w:tc>
        <w:tc>
          <w:tcPr>
            <w:tcW w:type="dxa" w:w="3213"/>
            <w:shd w:val="clear" w:color="auto" w:fill="8C5A2B"/>
          </w:tcPr>
          <w:p>
            <w:pPr>
              <w:spacing w:after="0" w:before="0"/>
            </w:pPr>
            <w:r/>
            <w:r>
              <w:rPr>
                <w:b/>
                <w:i w:val="0"/>
                <w:color w:val="FFFFFF"/>
                <w:sz w:val="18"/>
              </w:rPr>
              <w:t>Was sie können muss (Kompetenz)</w:t>
            </w:r>
          </w:p>
        </w:tc>
        <w:tc>
          <w:tcPr>
            <w:tcW w:type="dxa" w:w="3213"/>
            <w:shd w:val="clear" w:color="auto" w:fill="8C5A2B"/>
          </w:tcPr>
          <w:p>
            <w:pPr>
              <w:spacing w:after="0" w:before="0"/>
            </w:pPr>
            <w:r/>
            <w:r>
              <w:rPr>
                <w:b/>
                <w:i w:val="0"/>
                <w:color w:val="FFFFFF"/>
                <w:sz w:val="18"/>
              </w:rPr>
              <w:t>Was sie wissen muss (Bewusstsein)</w:t>
            </w:r>
          </w:p>
        </w:tc>
      </w:tr>
      <w:tr>
        <w:trPr>
          <w:cantSplit w:val="true"/>
        </w:trPr>
        <w:tc>
          <w:tcPr>
            <w:tcW w:type="dxa" w:w="3213"/>
          </w:tcPr>
          <w:p>
            <w:pPr>
              <w:spacing w:after="0" w:before="0"/>
            </w:pPr>
            <w:r/>
            <w:r>
              <w:rPr>
                <w:b w:val="0"/>
                <w:i w:val="0"/>
                <w:color w:val="1A1A1A"/>
                <w:sz w:val="18"/>
              </w:rPr>
              <w:t>Service am Tisch</w:t>
            </w:r>
          </w:p>
        </w:tc>
        <w:tc>
          <w:tcPr>
            <w:tcW w:type="dxa" w:w="3213"/>
          </w:tcPr>
          <w:p>
            <w:pPr>
              <w:spacing w:after="0" w:before="0"/>
            </w:pPr>
            <w:r/>
            <w:r>
              <w:rPr>
                <w:b w:val="0"/>
                <w:i w:val="0"/>
                <w:color w:val="1A1A1A"/>
                <w:sz w:val="18"/>
              </w:rPr>
              <w:t>Eindecken, Servieren, Allergene erfragen</w:t>
            </w:r>
          </w:p>
        </w:tc>
        <w:tc>
          <w:tcPr>
            <w:tcW w:type="dxa" w:w="3213"/>
          </w:tcPr>
          <w:p>
            <w:pPr>
              <w:spacing w:after="0" w:before="0"/>
            </w:pPr>
            <w:r/>
            <w:r>
              <w:rPr>
                <w:b w:val="0"/>
                <w:i w:val="0"/>
                <w:color w:val="1A1A1A"/>
                <w:sz w:val="18"/>
              </w:rPr>
              <w:t>Politik in einem Satz; Zusagen an den Kunden</w:t>
            </w:r>
          </w:p>
        </w:tc>
      </w:tr>
      <w:tr>
        <w:trPr>
          <w:cantSplit w:val="true"/>
        </w:trPr>
        <w:tc>
          <w:tcPr>
            <w:tcW w:type="dxa" w:w="3213"/>
            <w:shd w:val="clear" w:color="auto" w:fill="F3EFE6"/>
          </w:tcPr>
          <w:p>
            <w:pPr>
              <w:spacing w:after="0" w:before="0"/>
            </w:pPr>
            <w:r/>
            <w:r>
              <w:rPr>
                <w:b w:val="0"/>
                <w:i w:val="0"/>
                <w:color w:val="1A1A1A"/>
                <w:sz w:val="18"/>
              </w:rPr>
              <w:t>Bar im Foyer</w:t>
            </w:r>
          </w:p>
        </w:tc>
        <w:tc>
          <w:tcPr>
            <w:tcW w:type="dxa" w:w="3213"/>
            <w:shd w:val="clear" w:color="auto" w:fill="F3EFE6"/>
          </w:tcPr>
          <w:p>
            <w:pPr>
              <w:spacing w:after="0" w:before="0"/>
            </w:pPr>
            <w:r/>
            <w:r>
              <w:rPr>
                <w:b w:val="0"/>
                <w:i w:val="0"/>
                <w:color w:val="1A1A1A"/>
                <w:sz w:val="18"/>
              </w:rPr>
              <w:t>Pfandsystem bedienen, Becher annehmen und zurückgeben</w:t>
            </w:r>
          </w:p>
        </w:tc>
        <w:tc>
          <w:tcPr>
            <w:tcW w:type="dxa" w:w="3213"/>
            <w:shd w:val="clear" w:color="auto" w:fill="F3EFE6"/>
          </w:tcPr>
          <w:p>
            <w:pPr>
              <w:spacing w:after="0" w:before="0"/>
            </w:pPr>
            <w:r/>
            <w:r>
              <w:rPr>
                <w:b w:val="0"/>
                <w:i w:val="0"/>
                <w:color w:val="1A1A1A"/>
                <w:sz w:val="18"/>
              </w:rPr>
              <w:t>Warum Mehrweg zugesagt ist; was ein Fehler kostet</w:t>
            </w:r>
          </w:p>
        </w:tc>
      </w:tr>
      <w:tr>
        <w:trPr>
          <w:cantSplit w:val="true"/>
        </w:trPr>
        <w:tc>
          <w:tcPr>
            <w:tcW w:type="dxa" w:w="3213"/>
          </w:tcPr>
          <w:p>
            <w:pPr>
              <w:spacing w:after="0" w:before="0"/>
            </w:pPr>
            <w:r/>
            <w:r>
              <w:rPr>
                <w:b w:val="0"/>
                <w:i w:val="0"/>
                <w:color w:val="1A1A1A"/>
                <w:sz w:val="18"/>
              </w:rPr>
              <w:t>Abräumen und Office</w:t>
            </w:r>
          </w:p>
        </w:tc>
        <w:tc>
          <w:tcPr>
            <w:tcW w:type="dxa" w:w="3213"/>
          </w:tcPr>
          <w:p>
            <w:pPr>
              <w:spacing w:after="0" w:before="0"/>
            </w:pPr>
            <w:r/>
            <w:r>
              <w:rPr>
                <w:b w:val="0"/>
                <w:i w:val="0"/>
                <w:color w:val="1A1A1A"/>
                <w:sz w:val="18"/>
              </w:rPr>
              <w:t>Trennung nach Fraktionen, Reste zur Küche</w:t>
            </w:r>
          </w:p>
        </w:tc>
        <w:tc>
          <w:tcPr>
            <w:tcW w:type="dxa" w:w="3213"/>
          </w:tcPr>
          <w:p>
            <w:pPr>
              <w:spacing w:after="0" w:before="0"/>
            </w:pPr>
            <w:r/>
            <w:r>
              <w:rPr>
                <w:b w:val="0"/>
                <w:i w:val="0"/>
                <w:color w:val="1A1A1A"/>
                <w:sz w:val="18"/>
              </w:rPr>
              <w:t>Welches Ziel an der Trennung hängt</w:t>
            </w:r>
          </w:p>
        </w:tc>
      </w:tr>
      <w:tr>
        <w:trPr>
          <w:cantSplit w:val="true"/>
        </w:trPr>
        <w:tc>
          <w:tcPr>
            <w:tcW w:type="dxa" w:w="3213"/>
            <w:shd w:val="clear" w:color="auto" w:fill="F3EFE6"/>
          </w:tcPr>
          <w:p>
            <w:pPr>
              <w:spacing w:after="0" w:before="0"/>
            </w:pPr>
            <w:r/>
            <w:r>
              <w:rPr>
                <w:b w:val="0"/>
                <w:i w:val="0"/>
                <w:color w:val="1A1A1A"/>
                <w:sz w:val="18"/>
              </w:rPr>
              <w:t>Empfang am Saaleingang</w:t>
            </w:r>
          </w:p>
        </w:tc>
        <w:tc>
          <w:tcPr>
            <w:tcW w:type="dxa" w:w="3213"/>
            <w:shd w:val="clear" w:color="auto" w:fill="F3EFE6"/>
          </w:tcPr>
          <w:p>
            <w:pPr>
              <w:spacing w:after="0" w:before="0"/>
            </w:pPr>
            <w:r/>
            <w:r>
              <w:rPr>
                <w:b w:val="0"/>
                <w:i w:val="0"/>
                <w:color w:val="1A1A1A"/>
                <w:sz w:val="18"/>
              </w:rPr>
              <w:t>Wege kennen, Gäste zum Lift begleiten</w:t>
            </w:r>
          </w:p>
        </w:tc>
        <w:tc>
          <w:tcPr>
            <w:tcW w:type="dxa" w:w="3213"/>
            <w:shd w:val="clear" w:color="auto" w:fill="F3EFE6"/>
          </w:tcPr>
          <w:p>
            <w:pPr>
              <w:spacing w:after="0" w:before="0"/>
            </w:pPr>
            <w:r/>
            <w:r>
              <w:rPr>
                <w:b w:val="0"/>
                <w:i w:val="0"/>
                <w:color w:val="1A1A1A"/>
                <w:sz w:val="18"/>
              </w:rPr>
              <w:t>Wer stufenlosen Zugang braucht und warum er zugesagt ist</w:t>
            </w:r>
          </w:p>
        </w:tc>
      </w:tr>
      <w:tr>
        <w:trPr>
          <w:cantSplit w:val="true"/>
        </w:trPr>
        <w:tc>
          <w:tcPr>
            <w:tcW w:type="dxa" w:w="3213"/>
          </w:tcPr>
          <w:p>
            <w:pPr>
              <w:spacing w:after="0" w:before="0"/>
            </w:pPr>
            <w:r/>
            <w:r>
              <w:rPr>
                <w:b w:val="0"/>
                <w:i w:val="0"/>
                <w:color w:val="1A1A1A"/>
                <w:sz w:val="18"/>
              </w:rPr>
              <w:t>Ausgabe Mitternachtsimbiss</w:t>
            </w:r>
          </w:p>
        </w:tc>
        <w:tc>
          <w:tcPr>
            <w:tcW w:type="dxa" w:w="3213"/>
          </w:tcPr>
          <w:p>
            <w:pPr>
              <w:spacing w:after="0" w:before="0"/>
            </w:pPr>
            <w:r/>
            <w:r>
              <w:rPr>
                <w:b w:val="0"/>
                <w:i w:val="0"/>
                <w:color w:val="1A1A1A"/>
                <w:sz w:val="18"/>
              </w:rPr>
              <w:t>Porzellan ausgeben, Mengen nach Ansage</w:t>
            </w:r>
          </w:p>
        </w:tc>
        <w:tc>
          <w:tcPr>
            <w:tcW w:type="dxa" w:w="3213"/>
          </w:tcPr>
          <w:p>
            <w:pPr>
              <w:spacing w:after="0" w:before="0"/>
            </w:pPr>
            <w:r/>
            <w:r>
              <w:rPr>
                <w:b w:val="0"/>
                <w:i w:val="0"/>
                <w:color w:val="1A1A1A"/>
                <w:sz w:val="18"/>
              </w:rPr>
              <w:t>Wen sie ruft, wenn etwas fehlt</w:t>
            </w:r>
          </w:p>
        </w:tc>
      </w:tr>
    </w:tbl>
    <w:p>
      <w:pPr>
        <w:spacing w:after="40"/>
      </w:pPr>
    </w:p>
    <w:p>
      <w:pPr>
        <w:pStyle w:val="Heading2"/>
      </w:pPr>
      <w:r>
        <w:t>Praktische Anwendung: Kompetenz und Bewusstsein für einen Veranstaltungsabend in sieben Schritten sichern</w:t>
      </w:r>
    </w:p>
    <w:p>
      <w:pPr>
        <w:tabs>
          <w:tab w:pos="340" w:val="left"/>
        </w:tabs>
        <w:ind w:left="340" w:hanging="340"/>
      </w:pPr>
      <w:r>
        <w:rPr>
          <w:b/>
          <w:color w:val="8C5A2B"/>
        </w:rPr>
        <w:t>1.</w:t>
        <w:tab/>
      </w:r>
      <w:r>
        <w:rPr>
          <w:b/>
        </w:rPr>
        <w:t>Die Rollen eines Abends aufschreiben.</w:t>
      </w:r>
      <w:r>
        <w:t xml:space="preserve"> Service, Bar, Abräumen, Empfang, Ausgabe, Garderobe, Technik. Neben jeder Rolle steht, wie viele Menschen sie übernehmen und woher sie kommen.</w:t>
      </w:r>
    </w:p>
    <w:p>
      <w:pPr>
        <w:tabs>
          <w:tab w:pos="340" w:val="left"/>
        </w:tabs>
        <w:ind w:left="340" w:hanging="340"/>
      </w:pPr>
      <w:r>
        <w:rPr>
          <w:b/>
          <w:color w:val="8C5A2B"/>
        </w:rPr>
        <w:t>2.</w:t>
        <w:tab/>
      </w:r>
      <w:r>
        <w:rPr>
          <w:b/>
        </w:rPr>
        <w:t>Je Rolle ein Blatt anlegen.</w:t>
      </w:r>
      <w:r>
        <w:t xml:space="preserve"> Was die Rolle können muss und was sie wissen muss, auf einer halben Seite. Das Blatt gilt für jeden, der die Rolle übernimmt, ob fest, Lehrling, Agentur oder Aushilfe.</w:t>
      </w:r>
    </w:p>
    <w:p>
      <w:pPr>
        <w:tabs>
          <w:tab w:pos="340" w:val="left"/>
        </w:tabs>
        <w:ind w:left="340" w:hanging="340"/>
      </w:pPr>
      <w:r>
        <w:rPr>
          <w:b/>
          <w:color w:val="8C5A2B"/>
        </w:rPr>
        <w:t>3.</w:t>
        <w:tab/>
      </w:r>
      <w:r>
        <w:rPr>
          <w:b/>
        </w:rPr>
        <w:t>Die Zusagen aus dem Angebot holen.</w:t>
      </w:r>
      <w:r>
        <w:t xml:space="preserve"> Was dem Kunden versprochen ist, kommt vor jeder Veranstaltung auf die Einweisungskarte. Die Bankettleitung liest das Angebot, nicht nur den Ablaufplan.</w:t>
      </w:r>
    </w:p>
    <w:p>
      <w:pPr>
        <w:tabs>
          <w:tab w:pos="340" w:val="left"/>
        </w:tabs>
        <w:ind w:left="340" w:hanging="340"/>
      </w:pPr>
      <w:r>
        <w:rPr>
          <w:b/>
          <w:color w:val="8C5A2B"/>
        </w:rPr>
        <w:t>4.</w:t>
        <w:tab/>
      </w:r>
      <w:r>
        <w:rPr>
          <w:b/>
        </w:rPr>
        <w:t>Die zehn Minuten vorbereiten.</w:t>
      </w:r>
      <w:r>
        <w:t xml:space="preserve"> Eine Karte mit Politik in einem Satz, den Zusagen an diesen Kunden, den Wegen und dem Namen dessen, der bei Fragen entscheidet. Die Karte gibt es in den Sprachen der Menschen, die kommen.</w:t>
      </w:r>
    </w:p>
    <w:p>
      <w:pPr>
        <w:tabs>
          <w:tab w:pos="340" w:val="left"/>
        </w:tabs>
        <w:ind w:left="340" w:hanging="340"/>
      </w:pPr>
      <w:r>
        <w:rPr>
          <w:b/>
          <w:color w:val="8C5A2B"/>
        </w:rPr>
        <w:t>5.</w:t>
        <w:tab/>
      </w:r>
      <w:r>
        <w:rPr>
          <w:b/>
        </w:rPr>
        <w:t>Alle einweisen, vor dem Dienst, mit Liste.</w:t>
      </w:r>
      <w:r>
        <w:t xml:space="preserve"> Name, Rolle, Uhrzeit, Einweiser. Die Unterweisung zu Sicherheit und Hygiene gehört in dieselben zehn Minuten, mit derselben Liste.</w:t>
      </w:r>
    </w:p>
    <w:p>
      <w:pPr>
        <w:tabs>
          <w:tab w:pos="340" w:val="left"/>
        </w:tabs>
        <w:ind w:left="340" w:hanging="340"/>
      </w:pPr>
      <w:r>
        <w:rPr>
          <w:b/>
          <w:color w:val="8C5A2B"/>
        </w:rPr>
        <w:t>6.</w:t>
        <w:tab/>
      </w:r>
      <w:r>
        <w:rPr>
          <w:b/>
        </w:rPr>
        <w:t>Während des Abends nachfragen.</w:t>
      </w:r>
      <w:r>
        <w:t xml:space="preserve"> Drei Fragen an drei Menschen, verschiedene Rollen, verschiedene Herkunft. Das Ergebnis kommt in eine Zeile auf der Liste.</w:t>
      </w:r>
    </w:p>
    <w:p>
      <w:pPr>
        <w:tabs>
          <w:tab w:pos="340" w:val="left"/>
        </w:tabs>
        <w:ind w:left="340" w:hanging="340"/>
      </w:pPr>
      <w:r>
        <w:rPr>
          <w:b/>
          <w:color w:val="8C5A2B"/>
        </w:rPr>
        <w:t>7.</w:t>
        <w:tab/>
      </w:r>
      <w:r>
        <w:rPr>
          <w:b/>
        </w:rPr>
        <w:t>Die Lehren zurückgeben.</w:t>
      </w:r>
      <w:r>
        <w:t xml:space="preserve"> Was nicht verstanden wurde, ändert die Karte oder das Rollenblatt. Was die Agentur betrifft, geht schriftlich an die Agentur; was als Fehler geschah, geht in die Korrekturmaßnahmen (2.12).</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Rollen eines Abends aufschreiben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 Rolle ein Blatt anlegen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Zusagen aus dem Angebot holen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zehn Minuten vorbereiten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Alle einweisen, vor dem Dienst, mit Liste</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Während des Abends nachfragen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Lehren zurückgeben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für jede Rolle an einem Veranstaltungsabend festgelegt, was sie können und wissen muss?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Gilt diese Festlegung auch für Agenturkräfte, Aushilfen und Lehrlinge?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Kommen die Zusagen aus dem Angebot vor jeder Veranstaltung in die Einweisung?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Gibt es eine Liste aller, die an einem Abend im Service stehen, mit Rolle und Einweiser?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Weisen wir in einer Sprache ein, die alle verstehen?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Prüfen wir während des Abends, ob die Einweisung angekommen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Planen wir, wer nach dem Dienstende der Lehrlinge ihr Wissen im Saal hat?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Verpflichtet der Agenturvertrag die Agentur, ihre Leute rechtzeitig zur Einweisung zu schicken?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Schulungsmatrix nach der Lohnliste führen.</w:t>
      </w:r>
      <w:r>
        <w:t xml:space="preserve"> An Ballabenden fehlt dann die Hälfte des Service.</w:t>
      </w:r>
    </w:p>
    <w:p>
      <w:pPr>
        <w:tabs>
          <w:tab w:pos="340" w:val="left"/>
        </w:tabs>
        <w:ind w:left="340" w:hanging="340"/>
      </w:pPr>
      <w:r>
        <w:rPr>
          <w:color w:val="8C5A2B"/>
        </w:rPr>
        <w:t>–</w:t>
        <w:tab/>
      </w:r>
      <w:r>
        <w:rPr>
          <w:b/>
        </w:rPr>
        <w:t>«Geschult» im Agenturvertrag für genug halten.</w:t>
      </w:r>
      <w:r>
        <w:t xml:space="preserve"> Was das Haus dem Kunden zugesagt hat, kann keine Agentur wissen.</w:t>
      </w:r>
    </w:p>
    <w:p>
      <w:pPr>
        <w:tabs>
          <w:tab w:pos="340" w:val="left"/>
        </w:tabs>
        <w:ind w:left="340" w:hanging="340"/>
      </w:pPr>
      <w:r>
        <w:rPr>
          <w:color w:val="8C5A2B"/>
        </w:rPr>
        <w:t>–</w:t>
        <w:tab/>
      </w:r>
      <w:r>
        <w:rPr>
          <w:b/>
        </w:rPr>
        <w:t>Nur den Ablauf einweisen.</w:t>
      </w:r>
      <w:r>
        <w:t xml:space="preserve"> Tische und Zeiten kommen an, die Zusagen nicht.</w:t>
      </w:r>
    </w:p>
    <w:p>
      <w:pPr>
        <w:tabs>
          <w:tab w:pos="340" w:val="left"/>
        </w:tabs>
        <w:ind w:left="340" w:hanging="340"/>
      </w:pPr>
      <w:r>
        <w:rPr>
          <w:color w:val="8C5A2B"/>
        </w:rPr>
        <w:t>–</w:t>
        <w:tab/>
      </w:r>
      <w:r>
        <w:rPr>
          <w:b/>
        </w:rPr>
        <w:t>Regeln mitteilen, ohne zu sagen, wofür sie gelten.</w:t>
      </w:r>
      <w:r>
        <w:t xml:space="preserve"> Bei der ersten Störung wird die Regel dann zur Nebensache.</w:t>
      </w:r>
    </w:p>
    <w:p>
      <w:pPr>
        <w:tabs>
          <w:tab w:pos="340" w:val="left"/>
        </w:tabs>
        <w:ind w:left="340" w:hanging="340"/>
      </w:pPr>
      <w:r>
        <w:rPr>
          <w:color w:val="8C5A2B"/>
        </w:rPr>
        <w:t>–</w:t>
        <w:tab/>
      </w:r>
      <w:r>
        <w:rPr>
          <w:b/>
        </w:rPr>
        <w:t>Unterschriften als Wirkung zählen.</w:t>
      </w:r>
      <w:r>
        <w:t xml:space="preserve"> Wer nicht verstanden hat, unterschreibt trotzdem.</w:t>
      </w:r>
    </w:p>
    <w:p>
      <w:pPr>
        <w:tabs>
          <w:tab w:pos="340" w:val="left"/>
        </w:tabs>
        <w:ind w:left="340" w:hanging="340"/>
      </w:pPr>
      <w:r>
        <w:rPr>
          <w:color w:val="8C5A2B"/>
        </w:rPr>
        <w:t>–</w:t>
        <w:tab/>
      </w:r>
      <w:r>
        <w:rPr>
          <w:b/>
        </w:rPr>
        <w:t>Vergessen, dass die Lehrlinge um 23 Uhr gehen.</w:t>
      </w:r>
      <w:r>
        <w:t xml:space="preserve"> Ihr Wissen geht mit, wenn es niemand übergeben hat.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eines Balls, 310 Gäste</w:t>
            </w:r>
          </w:p>
        </w:tc>
        <w:tc>
          <w:tcPr>
            <w:tcW w:type="dxa" w:w="1474"/>
          </w:tcPr>
          <w:p>
            <w:pPr>
              <w:spacing w:after="0" w:before="0"/>
            </w:pPr>
            <w:r/>
            <w:r>
              <w:rPr>
                <w:b w:val="0"/>
                <w:i w:val="0"/>
                <w:color w:val="1A1A1A"/>
                <w:sz w:val="18"/>
              </w:rPr>
              <w:t>€ 46.500</w:t>
            </w:r>
          </w:p>
        </w:tc>
        <w:tc>
          <w:tcPr>
            <w:tcW w:type="dxa" w:w="3175"/>
          </w:tcPr>
          <w:p>
            <w:pPr>
              <w:spacing w:after="0" w:before="0"/>
            </w:pPr>
            <w:r/>
            <w:r>
              <w:rPr>
                <w:b w:val="0"/>
                <w:i w:val="0"/>
                <w:color w:val="1A1A1A"/>
                <w:sz w:val="18"/>
              </w:rPr>
              <w:t>Saal, Getränke, Mitternachtsimbiss, ohne Zimmer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Früherer Dienstbeginn: 18 Kräfte von Agentur und Aushilfen × 0,25 Stunden × € 28</w:t>
            </w:r>
          </w:p>
        </w:tc>
        <w:tc>
          <w:tcPr>
            <w:tcW w:type="dxa" w:w="1474"/>
            <w:shd w:val="clear" w:color="auto" w:fill="F3EFE6"/>
          </w:tcPr>
          <w:p>
            <w:pPr>
              <w:spacing w:after="0" w:before="0"/>
            </w:pPr>
            <w:r/>
            <w:r>
              <w:rPr>
                <w:b w:val="0"/>
                <w:i w:val="0"/>
                <w:color w:val="1A1A1A"/>
                <w:sz w:val="18"/>
              </w:rPr>
              <w:t>€ 126</w:t>
            </w:r>
          </w:p>
        </w:tc>
        <w:tc>
          <w:tcPr>
            <w:tcW w:type="dxa" w:w="3175"/>
            <w:shd w:val="clear" w:color="auto" w:fill="F3EFE6"/>
          </w:tcPr>
          <w:p>
            <w:pPr>
              <w:spacing w:after="0" w:before="0"/>
            </w:pPr>
            <w:r/>
            <w:r>
              <w:rPr>
                <w:b w:val="0"/>
                <w:i w:val="0"/>
                <w:color w:val="1A1A1A"/>
                <w:sz w:val="18"/>
              </w:rPr>
              <w:t>je Ball</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Dasselbe für sechs Bälle</w:t>
            </w:r>
          </w:p>
        </w:tc>
        <w:tc>
          <w:tcPr>
            <w:tcW w:type="dxa" w:w="1474"/>
          </w:tcPr>
          <w:p>
            <w:pPr>
              <w:spacing w:after="0" w:before="0"/>
            </w:pPr>
            <w:r/>
            <w:r>
              <w:rPr>
                <w:b w:val="0"/>
                <w:i w:val="0"/>
                <w:color w:val="1A1A1A"/>
                <w:sz w:val="18"/>
              </w:rPr>
              <w:t>€ 756</w:t>
            </w:r>
          </w:p>
        </w:tc>
        <w:tc>
          <w:tcPr>
            <w:tcW w:type="dxa" w:w="3175"/>
          </w:tcPr>
          <w:p>
            <w:pPr>
              <w:spacing w:after="0" w:before="0"/>
            </w:pPr>
            <w:r/>
            <w:r>
              <w:rPr>
                <w:b w:val="0"/>
                <w:i w:val="0"/>
                <w:color w:val="1A1A1A"/>
                <w:sz w:val="18"/>
              </w:rPr>
              <w:t>je Saison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Rollenblätter und Einweisungskarte, zweisprachig</w:t>
            </w:r>
          </w:p>
        </w:tc>
        <w:tc>
          <w:tcPr>
            <w:tcW w:type="dxa" w:w="1474"/>
            <w:shd w:val="clear" w:color="auto" w:fill="F3EFE6"/>
          </w:tcPr>
          <w:p>
            <w:pPr>
              <w:spacing w:after="0" w:before="0"/>
            </w:pPr>
            <w:r/>
            <w:r>
              <w:rPr>
                <w:b w:val="0"/>
                <w:i w:val="0"/>
                <w:color w:val="1A1A1A"/>
                <w:sz w:val="18"/>
              </w:rPr>
              <w:t>16 Stunden</w:t>
            </w:r>
          </w:p>
        </w:tc>
        <w:tc>
          <w:tcPr>
            <w:tcW w:type="dxa" w:w="3175"/>
            <w:shd w:val="clear" w:color="auto" w:fill="F3EFE6"/>
          </w:tcPr>
          <w:p>
            <w:pPr>
              <w:spacing w:after="0" w:before="0"/>
            </w:pPr>
            <w:r/>
            <w:r>
              <w:rPr>
                <w:b w:val="0"/>
                <w:i w:val="0"/>
                <w:color w:val="1A1A1A"/>
                <w:sz w:val="18"/>
              </w:rPr>
              <w:t>einmalig, Personalleiterin und Bankettleiter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Fragen während des Abends und Eintrag in die Liste</w:t>
            </w:r>
          </w:p>
        </w:tc>
        <w:tc>
          <w:tcPr>
            <w:tcW w:type="dxa" w:w="1474"/>
          </w:tcPr>
          <w:p>
            <w:pPr>
              <w:spacing w:after="0" w:before="0"/>
            </w:pPr>
            <w:r/>
            <w:r>
              <w:rPr>
                <w:b w:val="0"/>
                <w:i w:val="0"/>
                <w:color w:val="1A1A1A"/>
                <w:sz w:val="18"/>
              </w:rPr>
              <w:t>1 Stunde</w:t>
            </w:r>
          </w:p>
        </w:tc>
        <w:tc>
          <w:tcPr>
            <w:tcW w:type="dxa" w:w="3175"/>
          </w:tcPr>
          <w:p>
            <w:pPr>
              <w:spacing w:after="0" w:before="0"/>
            </w:pPr>
            <w:r/>
            <w:r>
              <w:rPr>
                <w:b w:val="0"/>
                <w:i w:val="0"/>
                <w:color w:val="1A1A1A"/>
                <w:sz w:val="18"/>
              </w:rPr>
              <w:t>je Ball, Bankettleiter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Ersatz für zwei Gäste ohne Pfand, Entschuldigung an den Verein</w:t>
            </w:r>
          </w:p>
        </w:tc>
        <w:tc>
          <w:tcPr>
            <w:tcW w:type="dxa" w:w="1474"/>
            <w:shd w:val="clear" w:color="auto" w:fill="F3EFE6"/>
          </w:tcPr>
          <w:p>
            <w:pPr>
              <w:spacing w:after="0" w:before="0"/>
            </w:pPr>
            <w:r/>
            <w:r>
              <w:rPr>
                <w:b w:val="0"/>
                <w:i w:val="0"/>
                <w:color w:val="1A1A1A"/>
                <w:sz w:val="18"/>
              </w:rPr>
              <w:t>€ 40</w:t>
            </w:r>
          </w:p>
        </w:tc>
        <w:tc>
          <w:tcPr>
            <w:tcW w:type="dxa" w:w="3175"/>
            <w:shd w:val="clear" w:color="auto" w:fill="F3EFE6"/>
          </w:tcPr>
          <w:p>
            <w:pPr>
              <w:spacing w:after="0" w:before="0"/>
            </w:pPr>
            <w:r/>
            <w:r>
              <w:rPr>
                <w:b w:val="0"/>
                <w:i w:val="0"/>
                <w:color w:val="1A1A1A"/>
                <w:sz w:val="18"/>
              </w:rPr>
              <w:t>einmalig; der Ruf beim Verein ist nicht beziffert</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den Preis der zehn Minuten neben den Umsatz eines einzigen Balls. Sie behauptet nicht, dass der Verein wiederkommt, weil das Haus jetzt einweist. Sie zeigt, dass die Einweisung für eine ganze Saison weniger kostet als zwei Prozent des Umsatzes eines Abends.</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Notwendige Kompetenz bestimmen (7.2 a)</w:t>
            </w:r>
          </w:p>
        </w:tc>
        <w:tc>
          <w:tcPr>
            <w:tcW w:type="dxa" w:w="3175"/>
          </w:tcPr>
          <w:p>
            <w:pPr>
              <w:spacing w:after="0" w:before="0"/>
            </w:pPr>
            <w:r/>
            <w:r>
              <w:rPr>
                <w:b w:val="0"/>
                <w:i w:val="0"/>
                <w:color w:val="1A1A1A"/>
                <w:sz w:val="18"/>
              </w:rPr>
              <w:t>Rollenblätter je Funktion am Ballabend</w:t>
            </w:r>
          </w:p>
        </w:tc>
        <w:tc>
          <w:tcPr>
            <w:tcW w:type="dxa" w:w="3175"/>
          </w:tcPr>
          <w:p>
            <w:pPr>
              <w:spacing w:after="0" w:before="0"/>
            </w:pPr>
            <w:r/>
            <w:r>
              <w:rPr>
                <w:b w:val="0"/>
                <w:i w:val="0"/>
                <w:color w:val="1A1A1A"/>
                <w:sz w:val="18"/>
              </w:rPr>
              <w:t>Methode: Rolle statt Person</w:t>
            </w:r>
          </w:p>
        </w:tc>
      </w:tr>
      <w:tr>
        <w:trPr>
          <w:cantSplit w:val="true"/>
        </w:trPr>
        <w:tc>
          <w:tcPr>
            <w:tcW w:type="dxa" w:w="3288"/>
            <w:shd w:val="clear" w:color="auto" w:fill="F3EFE6"/>
          </w:tcPr>
          <w:p>
            <w:pPr>
              <w:spacing w:after="0" w:before="0"/>
            </w:pPr>
            <w:r/>
            <w:r>
              <w:rPr>
                <w:b w:val="0"/>
                <w:i w:val="0"/>
                <w:color w:val="1A1A1A"/>
                <w:sz w:val="18"/>
              </w:rPr>
              <w:t>Kompetenz sicherstellen durch Ausbildung, Schulung, Erfahrung (7.2 b)</w:t>
            </w:r>
          </w:p>
        </w:tc>
        <w:tc>
          <w:tcPr>
            <w:tcW w:type="dxa" w:w="3175"/>
            <w:shd w:val="clear" w:color="auto" w:fill="F3EFE6"/>
          </w:tcPr>
          <w:p>
            <w:pPr>
              <w:spacing w:after="0" w:before="0"/>
            </w:pPr>
            <w:r/>
            <w:r>
              <w:rPr>
                <w:b w:val="0"/>
                <w:i w:val="0"/>
                <w:color w:val="1A1A1A"/>
                <w:sz w:val="18"/>
              </w:rPr>
              <w:t>Einweisung vor dem Dienst; Einarbeitung neben einer festen Kraft</w:t>
            </w:r>
          </w:p>
        </w:tc>
        <w:tc>
          <w:tcPr>
            <w:tcW w:type="dxa" w:w="3175"/>
            <w:shd w:val="clear" w:color="auto" w:fill="F3EFE6"/>
          </w:tcPr>
          <w:p>
            <w:pPr>
              <w:spacing w:after="0" w:before="0"/>
            </w:pPr>
            <w:r/>
            <w:r>
              <w:rPr>
                <w:b w:val="0"/>
                <w:i w:val="0"/>
                <w:color w:val="1A1A1A"/>
                <w:sz w:val="18"/>
              </w:rPr>
              <w:t>A.13 a): Wissen, das im Haus bleibt</w:t>
            </w:r>
          </w:p>
        </w:tc>
      </w:tr>
      <w:tr>
        <w:trPr>
          <w:cantSplit w:val="true"/>
        </w:trPr>
        <w:tc>
          <w:tcPr>
            <w:tcW w:type="dxa" w:w="3288"/>
          </w:tcPr>
          <w:p>
            <w:pPr>
              <w:spacing w:after="0" w:before="0"/>
            </w:pPr>
            <w:r/>
            <w:r>
              <w:rPr>
                <w:b w:val="0"/>
                <w:i w:val="0"/>
                <w:color w:val="1A1A1A"/>
                <w:sz w:val="18"/>
              </w:rPr>
              <w:t>Maßnahmen ergreifen, Wirksamkeit bewerten (7.2 c)</w:t>
            </w:r>
          </w:p>
        </w:tc>
        <w:tc>
          <w:tcPr>
            <w:tcW w:type="dxa" w:w="3175"/>
          </w:tcPr>
          <w:p>
            <w:pPr>
              <w:spacing w:after="0" w:before="0"/>
            </w:pPr>
            <w:r/>
            <w:r>
              <w:rPr>
                <w:b w:val="0"/>
                <w:i w:val="0"/>
                <w:color w:val="1A1A1A"/>
                <w:sz w:val="18"/>
              </w:rPr>
              <w:t>Notiz zu den Fragen während des Abends</w:t>
            </w:r>
          </w:p>
        </w:tc>
        <w:tc>
          <w:tcPr>
            <w:tcW w:type="dxa" w:w="3175"/>
          </w:tcPr>
          <w:p>
            <w:pPr>
              <w:spacing w:after="0" w:before="0"/>
            </w:pPr>
            <w:r/>
            <w:r>
              <w:rPr>
                <w:b w:val="0"/>
                <w:i w:val="0"/>
                <w:color w:val="1A1A1A"/>
                <w:sz w:val="18"/>
              </w:rPr>
              <w:t>Methode: drei Fragen an drei Personen</w:t>
            </w:r>
          </w:p>
        </w:tc>
      </w:tr>
      <w:tr>
        <w:trPr>
          <w:cantSplit w:val="true"/>
        </w:trPr>
        <w:tc>
          <w:tcPr>
            <w:tcW w:type="dxa" w:w="3288"/>
            <w:shd w:val="clear" w:color="auto" w:fill="F3EFE6"/>
          </w:tcPr>
          <w:p>
            <w:pPr>
              <w:spacing w:after="0" w:before="0"/>
            </w:pPr>
            <w:r/>
            <w:r>
              <w:rPr>
                <w:b w:val="0"/>
                <w:i w:val="0"/>
                <w:color w:val="1A1A1A"/>
                <w:sz w:val="18"/>
              </w:rPr>
              <w:t>Dokumentierte Information als Nachweis (7.2)</w:t>
            </w:r>
          </w:p>
        </w:tc>
        <w:tc>
          <w:tcPr>
            <w:tcW w:type="dxa" w:w="3175"/>
            <w:shd w:val="clear" w:color="auto" w:fill="F3EFE6"/>
          </w:tcPr>
          <w:p>
            <w:pPr>
              <w:spacing w:after="0" w:before="0"/>
            </w:pPr>
            <w:r/>
            <w:r>
              <w:rPr>
                <w:b w:val="0"/>
                <w:i w:val="0"/>
                <w:color w:val="1A1A1A"/>
                <w:sz w:val="18"/>
              </w:rPr>
              <w:t>Liste je Veranstaltung mit Name, Rolle, Einweiser</w:t>
            </w:r>
          </w:p>
        </w:tc>
        <w:tc>
          <w:tcPr>
            <w:tcW w:type="dxa" w:w="3175"/>
            <w:shd w:val="clear" w:color="auto" w:fill="F3EFE6"/>
          </w:tcPr>
          <w:p>
            <w:pPr>
              <w:spacing w:after="0" w:before="0"/>
            </w:pPr>
            <w:r/>
            <w:r>
              <w:rPr>
                <w:b w:val="0"/>
                <w:i w:val="0"/>
                <w:color w:val="1A1A1A"/>
                <w:sz w:val="18"/>
              </w:rPr>
              <w:t>keine</w:t>
            </w:r>
          </w:p>
        </w:tc>
      </w:tr>
      <w:tr>
        <w:trPr>
          <w:cantSplit w:val="true"/>
        </w:trPr>
        <w:tc>
          <w:tcPr>
            <w:tcW w:type="dxa" w:w="3288"/>
          </w:tcPr>
          <w:p>
            <w:pPr>
              <w:spacing w:after="0" w:before="0"/>
            </w:pPr>
            <w:r/>
            <w:r>
              <w:rPr>
                <w:b w:val="0"/>
                <w:i w:val="0"/>
                <w:color w:val="1A1A1A"/>
                <w:sz w:val="18"/>
              </w:rPr>
              <w:t>Bewusstsein über Politik, Beitrag, Folgen (7.3)</w:t>
            </w:r>
          </w:p>
        </w:tc>
        <w:tc>
          <w:tcPr>
            <w:tcW w:type="dxa" w:w="3175"/>
          </w:tcPr>
          <w:p>
            <w:pPr>
              <w:spacing w:after="0" w:before="0"/>
            </w:pPr>
            <w:r/>
            <w:r>
              <w:rPr>
                <w:b w:val="0"/>
                <w:i w:val="0"/>
                <w:color w:val="1A1A1A"/>
                <w:sz w:val="18"/>
              </w:rPr>
              <w:t>Einweisungskarte für zehn Minuten, zweisprachig</w:t>
            </w:r>
          </w:p>
        </w:tc>
        <w:tc>
          <w:tcPr>
            <w:tcW w:type="dxa" w:w="3175"/>
          </w:tcPr>
          <w:p>
            <w:pPr>
              <w:spacing w:after="0" w:before="0"/>
            </w:pPr>
            <w:r/>
            <w:r>
              <w:rPr>
                <w:b w:val="0"/>
                <w:i w:val="0"/>
                <w:color w:val="1A1A1A"/>
                <w:sz w:val="18"/>
              </w:rPr>
              <w:t>Tabelle A.5: Schulung unter Verantwortung</w:t>
            </w:r>
          </w:p>
        </w:tc>
      </w:tr>
      <w:tr>
        <w:trPr>
          <w:cantSplit w:val="true"/>
        </w:trPr>
        <w:tc>
          <w:tcPr>
            <w:tcW w:type="dxa" w:w="3288"/>
            <w:shd w:val="clear" w:color="auto" w:fill="F3EFE6"/>
          </w:tcPr>
          <w:p>
            <w:pPr>
              <w:spacing w:after="0" w:before="0"/>
            </w:pPr>
            <w:r/>
            <w:r>
              <w:rPr>
                <w:b w:val="0"/>
                <w:i w:val="0"/>
                <w:color w:val="1A1A1A"/>
                <w:sz w:val="18"/>
              </w:rPr>
              <w:t>Extern bereitgestellte Prozesse steuern (8.1)</w:t>
            </w:r>
          </w:p>
        </w:tc>
        <w:tc>
          <w:tcPr>
            <w:tcW w:type="dxa" w:w="3175"/>
            <w:shd w:val="clear" w:color="auto" w:fill="F3EFE6"/>
          </w:tcPr>
          <w:p>
            <w:pPr>
              <w:spacing w:after="0" w:before="0"/>
            </w:pPr>
            <w:r/>
            <w:r>
              <w:rPr>
                <w:b w:val="0"/>
                <w:i w:val="0"/>
                <w:color w:val="1A1A1A"/>
                <w:sz w:val="18"/>
              </w:rPr>
              <w:t>Agenturvertrag: Einweisung im Haus vor Dienstbeginn</w:t>
            </w:r>
          </w:p>
        </w:tc>
        <w:tc>
          <w:tcPr>
            <w:tcW w:type="dxa" w:w="3175"/>
            <w:shd w:val="clear" w:color="auto" w:fill="F3EFE6"/>
          </w:tcPr>
          <w:p>
            <w:pPr>
              <w:spacing w:after="0" w:before="0"/>
            </w:pPr>
            <w:r/>
            <w:r>
              <w:rPr>
                <w:b w:val="0"/>
                <w:i w:val="0"/>
                <w:color w:val="1A1A1A"/>
                <w:sz w:val="18"/>
              </w:rPr>
              <w:t>Anhang B zur Lieferkette</w:t>
            </w:r>
          </w:p>
        </w:tc>
      </w:tr>
    </w:tbl>
    <w:p>
      <w:pPr>
        <w:spacing w:after="40"/>
      </w:pPr>
    </w:p>
    <w:p>
      <w:pPr>
        <w:pStyle w:val="Heading2"/>
      </w:pPr>
      <w:r>
        <w:t>DACH-Anker: Unterweisung, Leihkräfte und Jugendliche am Abend</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Unterweisung zu Sicherheit und Gesundheit</w:t>
            </w:r>
          </w:p>
        </w:tc>
        <w:tc>
          <w:tcPr>
            <w:tcW w:type="dxa" w:w="2721"/>
          </w:tcPr>
          <w:p>
            <w:pPr>
              <w:spacing w:after="0" w:before="0"/>
            </w:pPr>
            <w:r/>
            <w:r>
              <w:rPr>
                <w:b w:val="0"/>
                <w:i w:val="0"/>
                <w:color w:val="1A1A1A"/>
                <w:sz w:val="17"/>
              </w:rPr>
              <w:t>während der Arbeitszeit, vor Aufnahme der Tätigkeit (§ 12 Abs. 1 ArbSchG)</w:t>
            </w:r>
          </w:p>
        </w:tc>
        <w:tc>
          <w:tcPr>
            <w:tcW w:type="dxa" w:w="2721"/>
          </w:tcPr>
          <w:p>
            <w:pPr>
              <w:spacing w:after="0" w:before="0"/>
            </w:pPr>
            <w:r/>
            <w:r>
              <w:rPr>
                <w:b w:val="0"/>
                <w:i w:val="0"/>
                <w:color w:val="1A1A1A"/>
                <w:sz w:val="17"/>
              </w:rPr>
              <w:t>vor Aufnahme der Tätigkeit, während der Arbeitszeit, nachweislich (§ 14 ASchG)</w:t>
            </w:r>
          </w:p>
        </w:tc>
        <w:tc>
          <w:tcPr>
            <w:tcW w:type="dxa" w:w="2721"/>
          </w:tcPr>
          <w:p>
            <w:pPr>
              <w:spacing w:after="0" w:before="0"/>
            </w:pPr>
            <w:r/>
            <w:r>
              <w:rPr>
                <w:b w:val="0"/>
                <w:i w:val="0"/>
                <w:color w:val="1A1A1A"/>
                <w:sz w:val="17"/>
              </w:rPr>
              <w:t>Information und Anleitung während der Arbeitszeit (Art. 6 VUV)</w:t>
            </w:r>
          </w:p>
        </w:tc>
      </w:tr>
      <w:tr>
        <w:trPr>
          <w:cantSplit w:val="true"/>
        </w:trPr>
        <w:tc>
          <w:tcPr>
            <w:tcW w:type="dxa" w:w="1474"/>
            <w:shd w:val="clear" w:color="auto" w:fill="F3EFE6"/>
          </w:tcPr>
          <w:p>
            <w:pPr>
              <w:spacing w:after="0" w:before="0"/>
            </w:pPr>
            <w:r/>
            <w:r>
              <w:rPr>
                <w:b w:val="0"/>
                <w:i w:val="0"/>
                <w:color w:val="1A1A1A"/>
                <w:sz w:val="17"/>
              </w:rPr>
              <w:t>Leihkräfte</w:t>
            </w:r>
          </w:p>
        </w:tc>
        <w:tc>
          <w:tcPr>
            <w:tcW w:type="dxa" w:w="2721"/>
            <w:shd w:val="clear" w:color="auto" w:fill="F3EFE6"/>
          </w:tcPr>
          <w:p>
            <w:pPr>
              <w:spacing w:after="0" w:before="0"/>
            </w:pPr>
            <w:r/>
            <w:r>
              <w:rPr>
                <w:b w:val="0"/>
                <w:i w:val="0"/>
                <w:color w:val="1A1A1A"/>
                <w:sz w:val="17"/>
              </w:rPr>
              <w:t>Unterweisung trifft den Entleiher (§ 12 Abs. 2 ArbSchG)</w:t>
            </w:r>
          </w:p>
        </w:tc>
        <w:tc>
          <w:tcPr>
            <w:tcW w:type="dxa" w:w="2721"/>
            <w:shd w:val="clear" w:color="auto" w:fill="F3EFE6"/>
          </w:tcPr>
          <w:p>
            <w:pPr>
              <w:spacing w:after="0" w:before="0"/>
            </w:pPr>
            <w:r/>
            <w:r>
              <w:rPr>
                <w:b w:val="0"/>
                <w:i w:val="0"/>
                <w:color w:val="1A1A1A"/>
                <w:sz w:val="17"/>
              </w:rPr>
              <w:t>Beschäftiger gilt als Arbeitgeber im Arbeitnehmerschutz (§ 6 AÜG)</w:t>
            </w:r>
          </w:p>
        </w:tc>
        <w:tc>
          <w:tcPr>
            <w:tcW w:type="dxa" w:w="2721"/>
            <w:shd w:val="clear" w:color="auto" w:fill="F3EFE6"/>
          </w:tcPr>
          <w:p>
            <w:pPr>
              <w:spacing w:after="0" w:before="0"/>
            </w:pPr>
            <w:r/>
            <w:r>
              <w:rPr>
                <w:b w:val="0"/>
                <w:i w:val="0"/>
                <w:color w:val="1A1A1A"/>
                <w:sz w:val="17"/>
              </w:rPr>
              <w:t>auch Arbeitnehmer eines anderen Betriebes (Art. 6 Abs. 1 VUV)</w:t>
            </w:r>
          </w:p>
        </w:tc>
      </w:tr>
      <w:tr>
        <w:trPr>
          <w:cantSplit w:val="true"/>
        </w:trPr>
        <w:tc>
          <w:tcPr>
            <w:tcW w:type="dxa" w:w="1474"/>
          </w:tcPr>
          <w:p>
            <w:pPr>
              <w:spacing w:after="0" w:before="0"/>
            </w:pPr>
            <w:r/>
            <w:r>
              <w:rPr>
                <w:b w:val="0"/>
                <w:i w:val="0"/>
                <w:color w:val="1A1A1A"/>
                <w:sz w:val="17"/>
              </w:rPr>
              <w:t>Lebensmittelhygiene</w:t>
            </w:r>
          </w:p>
        </w:tc>
        <w:tc>
          <w:tcPr>
            <w:tcW w:type="dxa" w:w="2721"/>
          </w:tcPr>
          <w:p>
            <w:pPr>
              <w:spacing w:after="0" w:before="0"/>
            </w:pPr>
            <w:r/>
            <w:r>
              <w:rPr>
                <w:b w:val="0"/>
                <w:i w:val="0"/>
                <w:color w:val="1A1A1A"/>
                <w:sz w:val="17"/>
              </w:rPr>
              <w:t>Unterweisung oder Schulung entsprechend der Tätigkeit (VO (EG) Nr. 852/2004, Anhang II Kap. XII)</w:t>
            </w:r>
          </w:p>
        </w:tc>
        <w:tc>
          <w:tcPr>
            <w:tcW w:type="dxa" w:w="2721"/>
          </w:tcPr>
          <w:p>
            <w:pPr>
              <w:spacing w:after="0" w:before="0"/>
            </w:pPr>
            <w:r/>
            <w:r>
              <w:rPr>
                <w:b w:val="0"/>
                <w:i w:val="0"/>
                <w:color w:val="1A1A1A"/>
                <w:sz w:val="17"/>
              </w:rPr>
              <w:t>wie Deutschland</w:t>
            </w:r>
          </w:p>
        </w:tc>
        <w:tc>
          <w:tcPr>
            <w:tcW w:type="dxa" w:w="2721"/>
          </w:tcPr>
          <w:p>
            <w:pPr>
              <w:spacing w:after="0" w:before="0"/>
            </w:pPr>
            <w:r/>
            <w:r>
              <w:rPr>
                <w:b w:val="0"/>
                <w:i w:val="0"/>
                <w:color w:val="1A1A1A"/>
                <w:sz w:val="17"/>
              </w:rPr>
              <w:t>eigenes Lebensmittelrecht; Rechtskataster (1.12)</w:t>
            </w:r>
          </w:p>
        </w:tc>
      </w:tr>
      <w:tr>
        <w:trPr>
          <w:cantSplit w:val="true"/>
        </w:trPr>
        <w:tc>
          <w:tcPr>
            <w:tcW w:type="dxa" w:w="1474"/>
            <w:shd w:val="clear" w:color="auto" w:fill="F3EFE6"/>
          </w:tcPr>
          <w:p>
            <w:pPr>
              <w:spacing w:after="0" w:before="0"/>
            </w:pPr>
            <w:r/>
            <w:r>
              <w:rPr>
                <w:b w:val="0"/>
                <w:i w:val="0"/>
                <w:color w:val="1A1A1A"/>
                <w:sz w:val="17"/>
              </w:rPr>
              <w:t>Infektionsschutz</w:t>
            </w:r>
          </w:p>
        </w:tc>
        <w:tc>
          <w:tcPr>
            <w:tcW w:type="dxa" w:w="2721"/>
            <w:shd w:val="clear" w:color="auto" w:fill="F3EFE6"/>
          </w:tcPr>
          <w:p>
            <w:pPr>
              <w:spacing w:after="0" w:before="0"/>
            </w:pPr>
            <w:r/>
            <w:r>
              <w:rPr>
                <w:b w:val="0"/>
                <w:i w:val="0"/>
                <w:color w:val="1A1A1A"/>
                <w:sz w:val="17"/>
              </w:rPr>
              <w:t>Belehrung durch den Arbeitgeber nach Aufnahme der Tätigkeit und alle zwei Jahre, dokumentiert (§ 43 Abs. 4 IfSG)</w:t>
            </w:r>
          </w:p>
        </w:tc>
        <w:tc>
          <w:tcPr>
            <w:tcW w:type="dxa" w:w="2721"/>
            <w:shd w:val="clear" w:color="auto" w:fill="F3EFE6"/>
          </w:tcPr>
          <w:p>
            <w:pPr>
              <w:spacing w:after="0" w:before="0"/>
            </w:pPr>
            <w:r/>
            <w:r>
              <w:rPr>
                <w:b w:val="0"/>
                <w:i w:val="0"/>
                <w:color w:val="1A1A1A"/>
                <w:sz w:val="17"/>
              </w:rPr>
              <w:t>Rechtskataster (1.12)</w:t>
            </w:r>
          </w:p>
        </w:tc>
        <w:tc>
          <w:tcPr>
            <w:tcW w:type="dxa" w:w="2721"/>
            <w:shd w:val="clear" w:color="auto" w:fill="F3EFE6"/>
          </w:tcPr>
          <w:p>
            <w:pPr>
              <w:spacing w:after="0" w:before="0"/>
            </w:pPr>
            <w:r/>
            <w:r>
              <w:rPr>
                <w:b w:val="0"/>
                <w:i w:val="0"/>
                <w:color w:val="1A1A1A"/>
                <w:sz w:val="17"/>
              </w:rPr>
              <w:t>Rechtskataster (1.12)</w:t>
            </w:r>
          </w:p>
        </w:tc>
      </w:tr>
      <w:tr>
        <w:trPr>
          <w:cantSplit w:val="true"/>
        </w:trPr>
        <w:tc>
          <w:tcPr>
            <w:tcW w:type="dxa" w:w="1474"/>
          </w:tcPr>
          <w:p>
            <w:pPr>
              <w:spacing w:after="0" w:before="0"/>
            </w:pPr>
            <w:r/>
            <w:r>
              <w:rPr>
                <w:b w:val="0"/>
                <w:i w:val="0"/>
                <w:color w:val="1A1A1A"/>
                <w:sz w:val="17"/>
              </w:rPr>
              <w:t>Jugendliche am Abend</w:t>
            </w:r>
          </w:p>
        </w:tc>
        <w:tc>
          <w:tcPr>
            <w:tcW w:type="dxa" w:w="2721"/>
          </w:tcPr>
          <w:p>
            <w:pPr>
              <w:spacing w:after="0" w:before="0"/>
            </w:pPr>
            <w:r/>
            <w:r>
              <w:rPr>
                <w:b w:val="0"/>
                <w:i w:val="0"/>
                <w:color w:val="1A1A1A"/>
                <w:sz w:val="17"/>
              </w:rPr>
              <w:t>über 16 im Gaststättengewerbe bis 22 Uhr (§ 14 JArbSchG)</w:t>
            </w:r>
          </w:p>
        </w:tc>
        <w:tc>
          <w:tcPr>
            <w:tcW w:type="dxa" w:w="2721"/>
          </w:tcPr>
          <w:p>
            <w:pPr>
              <w:spacing w:after="0" w:before="0"/>
            </w:pPr>
            <w:r/>
            <w:r>
              <w:rPr>
                <w:b w:val="0"/>
                <w:i w:val="0"/>
                <w:color w:val="1A1A1A"/>
                <w:sz w:val="17"/>
              </w:rPr>
              <w:t>über 16 im Gastgewerbe bis 23 Uhr (§ 17 KJBG)</w:t>
            </w:r>
          </w:p>
        </w:tc>
        <w:tc>
          <w:tcPr>
            <w:tcW w:type="dxa" w:w="2721"/>
          </w:tcPr>
          <w:p>
            <w:pPr>
              <w:spacing w:after="0" w:before="0"/>
            </w:pPr>
            <w:r/>
            <w:r>
              <w:rPr>
                <w:b w:val="0"/>
                <w:i w:val="0"/>
                <w:color w:val="1A1A1A"/>
                <w:sz w:val="17"/>
              </w:rPr>
              <w:t>ab 16 bis 22 Uhr, vor Berufsschultagen bis 20 Uhr (Arbeitsgesetz, ArGV 5)</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2.14.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2.14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2.14 — Kompetenz und Bewusstsein für einen Veranstaltungsabend sichern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