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2.15</w:t>
      </w:r>
    </w:p>
    <w:p>
      <w:pPr>
        <w:pStyle w:val="Heading1"/>
      </w:pPr>
      <w:r>
        <w:t>Die Managementbewertung vorbereiten und führen</w:t>
      </w:r>
    </w:p>
    <w:p>
      <w:pPr>
        <w:spacing w:after="0"/>
      </w:pPr>
      <w:r>
        <w:rPr>
          <w:b w:val="0"/>
          <w:i/>
          <w:color w:val="5A5A5A"/>
        </w:rPr>
        <w:t>Abschnitt 2.15 · Fortlaufende Verbesserung</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nach einem Jahr mit Ihrem System an einem Tisch sitzen: Liegen dort Zahlen, die Ihnen sagen, was Sie ändern sollen, oder Zahlen, die Ihnen sagen, dass alles gut ist? Und wer entscheidet in Ihrem Haus, was aus vierzig Festen für das einundvierzigste folgt?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Ebenen des Lernens im Haus am See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Ebene</w:t>
            </w:r>
          </w:p>
        </w:tc>
        <w:tc>
          <w:tcPr>
            <w:tcW w:type="dxa" w:w="3213"/>
            <w:shd w:val="clear" w:color="auto" w:fill="8C5A2B"/>
          </w:tcPr>
          <w:p>
            <w:pPr>
              <w:spacing w:after="0" w:before="0"/>
            </w:pPr>
            <w:r/>
            <w:r>
              <w:rPr>
                <w:b/>
                <w:i w:val="0"/>
                <w:color w:val="FFFFFF"/>
                <w:sz w:val="18"/>
              </w:rPr>
              <w:t>Wann</w:t>
            </w:r>
          </w:p>
        </w:tc>
        <w:tc>
          <w:tcPr>
            <w:tcW w:type="dxa" w:w="3213"/>
            <w:shd w:val="clear" w:color="auto" w:fill="8C5A2B"/>
          </w:tcPr>
          <w:p>
            <w:pPr>
              <w:spacing w:after="0" w:before="0"/>
            </w:pPr>
            <w:r/>
            <w:r>
              <w:rPr>
                <w:b/>
                <w:i w:val="0"/>
                <w:color w:val="FFFFFF"/>
                <w:sz w:val="18"/>
              </w:rPr>
              <w:t>Wer entscheidet</w:t>
            </w:r>
          </w:p>
        </w:tc>
      </w:tr>
      <w:tr>
        <w:trPr>
          <w:cantSplit w:val="true"/>
        </w:trPr>
        <w:tc>
          <w:tcPr>
            <w:tcW w:type="dxa" w:w="3213"/>
          </w:tcPr>
          <w:p>
            <w:pPr>
              <w:spacing w:after="0" w:before="0"/>
            </w:pPr>
            <w:r/>
            <w:r>
              <w:rPr>
                <w:b w:val="0"/>
                <w:i w:val="0"/>
                <w:color w:val="1A1A1A"/>
                <w:sz w:val="18"/>
              </w:rPr>
              <w:t>Korrektur und Korrekturmaßnahme</w:t>
            </w:r>
          </w:p>
        </w:tc>
        <w:tc>
          <w:tcPr>
            <w:tcW w:type="dxa" w:w="3213"/>
          </w:tcPr>
          <w:p>
            <w:pPr>
              <w:spacing w:after="0" w:before="0"/>
            </w:pPr>
            <w:r/>
            <w:r>
              <w:rPr>
                <w:b w:val="0"/>
                <w:i w:val="0"/>
                <w:color w:val="1A1A1A"/>
                <w:sz w:val="18"/>
              </w:rPr>
              <w:t>sofort nach dem Fehler, Ursache binnen Wochen</w:t>
            </w:r>
          </w:p>
        </w:tc>
        <w:tc>
          <w:tcPr>
            <w:tcW w:type="dxa" w:w="3213"/>
          </w:tcPr>
          <w:p>
            <w:pPr>
              <w:spacing w:after="0" w:before="0"/>
            </w:pPr>
            <w:r/>
            <w:r>
              <w:rPr>
                <w:b w:val="0"/>
                <w:i w:val="0"/>
                <w:color w:val="1A1A1A"/>
                <w:sz w:val="18"/>
              </w:rPr>
              <w:t>Abteilungsleitung, bei Bedarf Direktion</w:t>
            </w:r>
          </w:p>
        </w:tc>
      </w:tr>
      <w:tr>
        <w:trPr>
          <w:cantSplit w:val="true"/>
        </w:trPr>
        <w:tc>
          <w:tcPr>
            <w:tcW w:type="dxa" w:w="3213"/>
            <w:shd w:val="clear" w:color="auto" w:fill="F3EFE6"/>
          </w:tcPr>
          <w:p>
            <w:pPr>
              <w:spacing w:after="0" w:before="0"/>
            </w:pPr>
            <w:r/>
            <w:r>
              <w:rPr>
                <w:b w:val="0"/>
                <w:i w:val="0"/>
                <w:color w:val="1A1A1A"/>
                <w:sz w:val="18"/>
              </w:rPr>
              <w:t>Lehre aus jeder Veranstaltung</w:t>
            </w:r>
          </w:p>
        </w:tc>
        <w:tc>
          <w:tcPr>
            <w:tcW w:type="dxa" w:w="3213"/>
            <w:shd w:val="clear" w:color="auto" w:fill="F3EFE6"/>
          </w:tcPr>
          <w:p>
            <w:pPr>
              <w:spacing w:after="0" w:before="0"/>
            </w:pPr>
            <w:r/>
            <w:r>
              <w:rPr>
                <w:b w:val="0"/>
                <w:i w:val="0"/>
                <w:color w:val="1A1A1A"/>
                <w:sz w:val="18"/>
              </w:rPr>
              <w:t>in der Woche danach, Notiz im Bankettformular</w:t>
            </w:r>
          </w:p>
        </w:tc>
        <w:tc>
          <w:tcPr>
            <w:tcW w:type="dxa" w:w="3213"/>
            <w:shd w:val="clear" w:color="auto" w:fill="F3EFE6"/>
          </w:tcPr>
          <w:p>
            <w:pPr>
              <w:spacing w:after="0" w:before="0"/>
            </w:pPr>
            <w:r/>
            <w:r>
              <w:rPr>
                <w:b w:val="0"/>
                <w:i w:val="0"/>
                <w:color w:val="1A1A1A"/>
                <w:sz w:val="18"/>
              </w:rPr>
              <w:t>Bankettleitung mit Küche und Technik</w:t>
            </w:r>
          </w:p>
        </w:tc>
      </w:tr>
      <w:tr>
        <w:trPr>
          <w:cantSplit w:val="true"/>
        </w:trPr>
        <w:tc>
          <w:tcPr>
            <w:tcW w:type="dxa" w:w="3213"/>
          </w:tcPr>
          <w:p>
            <w:pPr>
              <w:spacing w:after="0" w:before="0"/>
            </w:pPr>
            <w:r/>
            <w:r>
              <w:rPr>
                <w:b w:val="0"/>
                <w:i w:val="0"/>
                <w:color w:val="1A1A1A"/>
                <w:sz w:val="18"/>
              </w:rPr>
              <w:t>Änderung des Systems</w:t>
            </w:r>
          </w:p>
        </w:tc>
        <w:tc>
          <w:tcPr>
            <w:tcW w:type="dxa" w:w="3213"/>
          </w:tcPr>
          <w:p>
            <w:pPr>
              <w:spacing w:after="0" w:before="0"/>
            </w:pPr>
            <w:r/>
            <w:r>
              <w:rPr>
                <w:b w:val="0"/>
                <w:i w:val="0"/>
                <w:color w:val="1A1A1A"/>
                <w:sz w:val="18"/>
              </w:rPr>
              <w:t>in der Managementbewertung, zweimal im Jahr</w:t>
            </w:r>
          </w:p>
        </w:tc>
        <w:tc>
          <w:tcPr>
            <w:tcW w:type="dxa" w:w="3213"/>
          </w:tcPr>
          <w:p>
            <w:pPr>
              <w:spacing w:after="0" w:before="0"/>
            </w:pPr>
            <w:r/>
            <w:r>
              <w:rPr>
                <w:b w:val="0"/>
                <w:i w:val="0"/>
                <w:color w:val="1A1A1A"/>
                <w:sz w:val="18"/>
              </w:rPr>
              <w:t>Eigentümerin und Direktion</w:t>
            </w:r>
          </w:p>
        </w:tc>
      </w:tr>
    </w:tbl>
    <w:p>
      <w:pPr>
        <w:spacing w:after="40"/>
      </w:pPr>
    </w:p>
    <w:p>
      <w:pPr>
        <w:pStyle w:val="Heading2"/>
      </w:pPr>
      <w:r>
        <w:t>Praktische Anwendung: die Managementbewertung in sieben Schritten vorbereiten und führen</w:t>
      </w:r>
    </w:p>
    <w:p>
      <w:pPr>
        <w:tabs>
          <w:tab w:pos="340" w:val="left"/>
        </w:tabs>
        <w:ind w:left="340" w:hanging="340"/>
      </w:pPr>
      <w:r>
        <w:rPr>
          <w:b/>
          <w:color w:val="8C5A2B"/>
        </w:rPr>
        <w:t>1.</w:t>
        <w:tab/>
      </w:r>
      <w:r>
        <w:rPr>
          <w:b/>
        </w:rPr>
        <w:t>Die Abstände nach dem Kalender der Feste legen.</w:t>
      </w:r>
      <w:r>
        <w:t xml:space="preserve"> Ein Termin vor der Hauptsaison, einer danach. Dazwischen eine kurze Durchsicht in der Bankettbesprechung nach jedem großen Fest.</w:t>
      </w:r>
    </w:p>
    <w:p>
      <w:pPr>
        <w:tabs>
          <w:tab w:pos="340" w:val="left"/>
        </w:tabs>
        <w:ind w:left="340" w:hanging="340"/>
      </w:pPr>
      <w:r>
        <w:rPr>
          <w:b/>
          <w:color w:val="8C5A2B"/>
        </w:rPr>
        <w:t>2.</w:t>
        <w:tab/>
      </w:r>
      <w:r>
        <w:rPr>
          <w:b/>
        </w:rPr>
        <w:t>Die Eingaben vollständig sammeln.</w:t>
      </w:r>
      <w:r>
        <w:t xml:space="preserve"> Zahlen, Lehrennotizen, Nichtkonformitäten, Änderungsvermerke, Auditbericht, Kontext und rechtliche Entwicklungen, Rückmeldungen von Kunden und Gästen. Jede Zahl nennt, wie viele Veranstaltungen sie umfasst und welche fehlen.</w:t>
      </w:r>
    </w:p>
    <w:p>
      <w:pPr>
        <w:tabs>
          <w:tab w:pos="340" w:val="left"/>
        </w:tabs>
        <w:ind w:left="340" w:hanging="340"/>
      </w:pPr>
      <w:r>
        <w:rPr>
          <w:b/>
          <w:color w:val="8C5A2B"/>
        </w:rPr>
        <w:t>3.</w:t>
        <w:tab/>
      </w:r>
      <w:r>
        <w:rPr>
          <w:b/>
        </w:rPr>
        <w:t>Die Lücken zuerst zeigen.</w:t>
      </w:r>
      <w:r>
        <w:t xml:space="preserve"> Was nicht gemessen, nicht notiert, nicht geprüft wurde, steht auf der ersten Seite. Ein Durchschnitt ohne die schwierigen Abende wird als solcher bezeichnet.</w:t>
      </w:r>
    </w:p>
    <w:p>
      <w:pPr>
        <w:tabs>
          <w:tab w:pos="340" w:val="left"/>
        </w:tabs>
        <w:ind w:left="340" w:hanging="340"/>
      </w:pPr>
      <w:r>
        <w:rPr>
          <w:b/>
          <w:color w:val="8C5A2B"/>
        </w:rPr>
        <w:t>4.</w:t>
        <w:tab/>
      </w:r>
      <w:r>
        <w:rPr>
          <w:b/>
        </w:rPr>
        <w:t>Gegen die Leitprinzipien bewerten, einzeln und dann gemeinsam.</w:t>
      </w:r>
      <w:r>
        <w:t xml:space="preserve"> Jeder füllt den Ansatz des Hauses allein aus, mit einem Satz Begründung je Kreuz. Wo die Kreuze auseinanderliegen, beginnt die Diskussion.</w:t>
      </w:r>
    </w:p>
    <w:p>
      <w:pPr>
        <w:tabs>
          <w:tab w:pos="340" w:val="left"/>
        </w:tabs>
        <w:ind w:left="340" w:hanging="340"/>
      </w:pPr>
      <w:r>
        <w:rPr>
          <w:b/>
          <w:color w:val="8C5A2B"/>
        </w:rPr>
        <w:t>5.</w:t>
        <w:tab/>
      </w:r>
      <w:r>
        <w:rPr>
          <w:b/>
        </w:rPr>
        <w:t>Eine Entscheidungsvorlage schreiben, keinen Bericht.</w:t>
      </w:r>
      <w:r>
        <w:t xml:space="preserve"> Höchstens drei Seiten, jede Seite endet mit einer Frage, die die Leitung beantworten muss. Die Ideenliste kommt in den Anhang.</w:t>
      </w:r>
    </w:p>
    <w:p>
      <w:pPr>
        <w:tabs>
          <w:tab w:pos="340" w:val="left"/>
        </w:tabs>
        <w:ind w:left="340" w:hanging="340"/>
      </w:pPr>
      <w:r>
        <w:rPr>
          <w:b/>
          <w:color w:val="8C5A2B"/>
        </w:rPr>
        <w:t>6.</w:t>
        <w:tab/>
      </w:r>
      <w:r>
        <w:rPr>
          <w:b/>
        </w:rPr>
        <w:t>Entscheiden und festhalten.</w:t>
      </w:r>
      <w:r>
        <w:t xml:space="preserve"> Was ändert sich an Politik, Zielen, Abläufen und Ressourcen, wer setzt es um, bis wann? Was erreicht ist, wird im Formular oder im Dienstplan verankert.</w:t>
      </w:r>
    </w:p>
    <w:p>
      <w:pPr>
        <w:tabs>
          <w:tab w:pos="340" w:val="left"/>
        </w:tabs>
        <w:ind w:left="340" w:hanging="340"/>
      </w:pPr>
      <w:r>
        <w:rPr>
          <w:b/>
          <w:color w:val="8C5A2B"/>
        </w:rPr>
        <w:t>7.</w:t>
        <w:tab/>
      </w:r>
      <w:r>
        <w:rPr>
          <w:b/>
        </w:rPr>
        <w:t>Über den Weg des Nachweises entscheiden.</w:t>
      </w:r>
      <w:r>
        <w:t xml:space="preserve"> Selbsterklärung, Kundenaudit oder Zertifizierung, mit Begründung aus den Daten. Jede Aussage nach außen wird an Anwendungsbereich und Befunden gemessen.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Abstände nach dem Kalender der Feste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Eingaben vollständig sammeln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Lücken zuerst zeigen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Gegen die Leitprinzipien bewerten, einzeln und dann gemeinsam</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Eine Entscheidungsvorlage schreiben, keinen Bericht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Entscheiden und festhalten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Über den Weg des Nachweises entscheiden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die Managementbewertung in Abständen geplant, die zu unserem Veranstaltungskalender passen?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Sagt jede Zahl in der Vorlage, wie viele Veranstaltungen sie umfasst und welche fehlen?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Liegen die Lehren aus jeder Veranstaltung und aus jeder Änderung vor?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mehrere Personen die Leistung gegen die Leitprinzipien unabhängig voneinander eingeschätzt?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Endet die Managementbewertung mit Entscheidungen, Namen und Terminen?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geprüft, ob Politik, Ziele, Zweck und Werte zu ändern sind?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das Erreichte in Formularen, Dienstplänen oder Verträgen verankert?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die Eigentümerschaft über den Weg des Nachweises auf Grundlage der Daten entschieden?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Einen Jahresbericht vorlegen statt einer Entscheidungsvorlage.</w:t>
      </w:r>
      <w:r>
        <w:t xml:space="preserve"> Die Leitung dankt und entscheidet nichts.</w:t>
      </w:r>
    </w:p>
    <w:p>
      <w:pPr>
        <w:tabs>
          <w:tab w:pos="340" w:val="left"/>
        </w:tabs>
        <w:ind w:left="340" w:hanging="340"/>
      </w:pPr>
      <w:r>
        <w:rPr>
          <w:color w:val="8C5A2B"/>
        </w:rPr>
        <w:t>–</w:t>
        <w:tab/>
      </w:r>
      <w:r>
        <w:rPr>
          <w:b/>
        </w:rPr>
        <w:t>Den Durchschnitt ohne die schwierigen Abende rechnen.</w:t>
      </w:r>
      <w:r>
        <w:t xml:space="preserve"> Die Zahl zeigt dann die Leistung an den leichten.</w:t>
      </w:r>
    </w:p>
    <w:p>
      <w:pPr>
        <w:tabs>
          <w:tab w:pos="340" w:val="left"/>
        </w:tabs>
        <w:ind w:left="340" w:hanging="340"/>
      </w:pPr>
      <w:r>
        <w:rPr>
          <w:color w:val="8C5A2B"/>
        </w:rPr>
        <w:t>–</w:t>
        <w:tab/>
      </w:r>
      <w:r>
        <w:rPr>
          <w:b/>
        </w:rPr>
        <w:t>Die Reifegradmatrix glätten.</w:t>
      </w:r>
      <w:r>
        <w:t xml:space="preserve"> Ein geschöntes Kreuz verdeckt die nützlichste Frage.</w:t>
      </w:r>
    </w:p>
    <w:p>
      <w:pPr>
        <w:tabs>
          <w:tab w:pos="340" w:val="left"/>
        </w:tabs>
        <w:ind w:left="340" w:hanging="340"/>
      </w:pPr>
      <w:r>
        <w:rPr>
          <w:color w:val="8C5A2B"/>
        </w:rPr>
        <w:t>–</w:t>
        <w:tab/>
      </w:r>
      <w:r>
        <w:rPr>
          <w:b/>
        </w:rPr>
        <w:t>Verbesserung mit neuen Projekten verwechseln.</w:t>
      </w:r>
      <w:r>
        <w:t xml:space="preserve"> Zuerst wird repariert, was das Audit gefunden hat.</w:t>
      </w:r>
    </w:p>
    <w:p>
      <w:pPr>
        <w:tabs>
          <w:tab w:pos="340" w:val="left"/>
        </w:tabs>
        <w:ind w:left="340" w:hanging="340"/>
      </w:pPr>
      <w:r>
        <w:rPr>
          <w:color w:val="8C5A2B"/>
        </w:rPr>
        <w:t>–</w:t>
        <w:tab/>
      </w:r>
      <w:r>
        <w:rPr>
          <w:b/>
        </w:rPr>
        <w:t>Einmal im Jahr bewerten, wenn vierzig Feste dazwischenliegen.</w:t>
      </w:r>
      <w:r>
        <w:t xml:space="preserve"> Lücken werden dann erst als Befund sichtbar.</w:t>
      </w:r>
    </w:p>
    <w:p>
      <w:pPr>
        <w:tabs>
          <w:tab w:pos="340" w:val="left"/>
        </w:tabs>
        <w:ind w:left="340" w:hanging="340"/>
      </w:pPr>
      <w:r>
        <w:rPr>
          <w:color w:val="8C5A2B"/>
        </w:rPr>
        <w:t>–</w:t>
        <w:tab/>
      </w:r>
      <w:r>
        <w:rPr>
          <w:b/>
        </w:rPr>
        <w:t>Zertifizieren lassen, um eine Kundenfrage loszuwerden.</w:t>
      </w:r>
      <w:r>
        <w:t xml:space="preserve"> Die Befunde des eigenen Audits kommen von außen zurück.</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Vorbereitung: Zahlen eines Jahres, Lehren aus 40 Veranstaltungen</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Leiterin Bankett und Veranstaltungen, Haustechniker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Selbsteinschätzung gegen die Leitprinzipien: 5 Personen × 2 Stunden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einzeln, dann gemeinsam</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Sitzung der Managementbewertung: 5 Personen × 4 Stunden</w:t>
            </w:r>
          </w:p>
        </w:tc>
        <w:tc>
          <w:tcPr>
            <w:tcW w:type="dxa" w:w="1474"/>
          </w:tcPr>
          <w:p>
            <w:pPr>
              <w:spacing w:after="0" w:before="0"/>
            </w:pPr>
            <w:r/>
            <w:r>
              <w:rPr>
                <w:b w:val="0"/>
                <w:i w:val="0"/>
                <w:color w:val="1A1A1A"/>
                <w:sz w:val="18"/>
              </w:rPr>
              <w:t>20 Stunden</w:t>
            </w:r>
          </w:p>
        </w:tc>
        <w:tc>
          <w:tcPr>
            <w:tcW w:type="dxa" w:w="3175"/>
          </w:tcPr>
          <w:p>
            <w:pPr>
              <w:spacing w:after="0" w:before="0"/>
            </w:pPr>
            <w:r/>
            <w:r>
              <w:rPr>
                <w:b w:val="0"/>
                <w:i w:val="0"/>
                <w:color w:val="1A1A1A"/>
                <w:sz w:val="18"/>
              </w:rPr>
              <w:t>Protokoll mit Entscheidungen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Zweite Spülkraft: 22 Feste × 3 Stunden × € 26</w:t>
            </w:r>
          </w:p>
        </w:tc>
        <w:tc>
          <w:tcPr>
            <w:tcW w:type="dxa" w:w="1474"/>
            <w:shd w:val="clear" w:color="auto" w:fill="F3EFE6"/>
          </w:tcPr>
          <w:p>
            <w:pPr>
              <w:spacing w:after="0" w:before="0"/>
            </w:pPr>
            <w:r/>
            <w:r>
              <w:rPr>
                <w:b w:val="0"/>
                <w:i w:val="0"/>
                <w:color w:val="1A1A1A"/>
                <w:sz w:val="18"/>
              </w:rPr>
              <w:t>€ 1.716</w:t>
            </w:r>
          </w:p>
        </w:tc>
        <w:tc>
          <w:tcPr>
            <w:tcW w:type="dxa" w:w="3175"/>
            <w:shd w:val="clear" w:color="auto" w:fill="F3EFE6"/>
          </w:tcPr>
          <w:p>
            <w:pPr>
              <w:spacing w:after="0" w:before="0"/>
            </w:pPr>
            <w:r/>
            <w:r>
              <w:rPr>
                <w:b w:val="0"/>
                <w:i w:val="0"/>
                <w:color w:val="1A1A1A"/>
                <w:sz w:val="18"/>
              </w:rPr>
              <w:t>im Kontextpapier waren € 1.950 angenommen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Einwegbecher: 3.100 statt 14.000 zu € 0,11</w:t>
            </w:r>
          </w:p>
        </w:tc>
        <w:tc>
          <w:tcPr>
            <w:tcW w:type="dxa" w:w="1474"/>
          </w:tcPr>
          <w:p>
            <w:pPr>
              <w:spacing w:after="0" w:before="0"/>
            </w:pPr>
            <w:r/>
            <w:r>
              <w:rPr>
                <w:b w:val="0"/>
                <w:i w:val="0"/>
                <w:color w:val="1A1A1A"/>
                <w:sz w:val="18"/>
              </w:rPr>
              <w:t>€ 341</w:t>
            </w:r>
          </w:p>
        </w:tc>
        <w:tc>
          <w:tcPr>
            <w:tcW w:type="dxa" w:w="3175"/>
          </w:tcPr>
          <w:p>
            <w:pPr>
              <w:spacing w:after="0" w:before="0"/>
            </w:pPr>
            <w:r/>
            <w:r>
              <w:rPr>
                <w:b w:val="0"/>
                <w:i w:val="0"/>
                <w:color w:val="1A1A1A"/>
                <w:sz w:val="18"/>
              </w:rPr>
              <w:t>€ 1.199 weniger als vor dem System</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Angebot einer Zertifizierungsstelle, erstes Jahr</w:t>
            </w:r>
          </w:p>
        </w:tc>
        <w:tc>
          <w:tcPr>
            <w:tcW w:type="dxa" w:w="1474"/>
            <w:shd w:val="clear" w:color="auto" w:fill="F3EFE6"/>
          </w:tcPr>
          <w:p>
            <w:pPr>
              <w:spacing w:after="0" w:before="0"/>
            </w:pPr>
            <w:r/>
            <w:r>
              <w:rPr>
                <w:b w:val="0"/>
                <w:i w:val="0"/>
                <w:color w:val="1A1A1A"/>
                <w:sz w:val="18"/>
              </w:rPr>
              <w:t>€ 7.800</w:t>
            </w:r>
          </w:p>
        </w:tc>
        <w:tc>
          <w:tcPr>
            <w:tcW w:type="dxa" w:w="3175"/>
            <w:shd w:val="clear" w:color="auto" w:fill="F3EFE6"/>
          </w:tcPr>
          <w:p>
            <w:pPr>
              <w:spacing w:after="0" w:before="0"/>
            </w:pPr>
            <w:r/>
            <w:r>
              <w:rPr>
                <w:b w:val="0"/>
                <w:i w:val="0"/>
                <w:color w:val="1A1A1A"/>
                <w:sz w:val="18"/>
              </w:rPr>
              <w:t>Entscheidung um ein Jahr verschoben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Vierundfünfzig Stunden kostet eine Managementbewertung, die ihren Namen verdient. Die Rechnung behauptet nicht, dass sich das System über Becher und Spülkraft bezahlt; die Ersparnis bei den Bechern deckt die zweite Spülkraft nicht ganz, es bleiben rund fünfhundert Euro im Jahr. Sie zeigt, dass die Entscheidungen des Jahres bezahlbar waren und dass die größte Ausgabe auf dem Tisch, das Zertifikat, eine Entscheidung ist, die man auch begründet vertagen kann.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Managementbewertung in geplanten Abständen (9.3.1)</w:t>
            </w:r>
          </w:p>
        </w:tc>
        <w:tc>
          <w:tcPr>
            <w:tcW w:type="dxa" w:w="3175"/>
          </w:tcPr>
          <w:p>
            <w:pPr>
              <w:spacing w:after="0" w:before="0"/>
            </w:pPr>
            <w:r/>
            <w:r>
              <w:rPr>
                <w:b w:val="0"/>
                <w:i w:val="0"/>
                <w:color w:val="1A1A1A"/>
                <w:sz w:val="18"/>
              </w:rPr>
              <w:t>zwei feste Termine im Jahr, im Kalender der Eigentümerin</w:t>
            </w:r>
          </w:p>
        </w:tc>
        <w:tc>
          <w:tcPr>
            <w:tcW w:type="dxa" w:w="3175"/>
          </w:tcPr>
          <w:p>
            <w:pPr>
              <w:spacing w:after="0" w:before="0"/>
            </w:pPr>
            <w:r/>
            <w:r>
              <w:rPr>
                <w:b w:val="0"/>
                <w:i w:val="0"/>
                <w:color w:val="1A1A1A"/>
                <w:sz w:val="18"/>
              </w:rPr>
              <w:t>A.22: muss nicht bis nach der Veranstaltung warten</w:t>
            </w:r>
          </w:p>
        </w:tc>
      </w:tr>
      <w:tr>
        <w:trPr>
          <w:cantSplit w:val="true"/>
        </w:trPr>
        <w:tc>
          <w:tcPr>
            <w:tcW w:type="dxa" w:w="3288"/>
            <w:shd w:val="clear" w:color="auto" w:fill="F3EFE6"/>
          </w:tcPr>
          <w:p>
            <w:pPr>
              <w:spacing w:after="0" w:before="0"/>
            </w:pPr>
            <w:r/>
            <w:r>
              <w:rPr>
                <w:b w:val="0"/>
                <w:i w:val="0"/>
                <w:color w:val="1A1A1A"/>
                <w:sz w:val="18"/>
              </w:rPr>
              <w:t>Eingaben a) bis k), darunter j) und k) (9.3.2)</w:t>
            </w:r>
          </w:p>
        </w:tc>
        <w:tc>
          <w:tcPr>
            <w:tcW w:type="dxa" w:w="3175"/>
            <w:shd w:val="clear" w:color="auto" w:fill="F3EFE6"/>
          </w:tcPr>
          <w:p>
            <w:pPr>
              <w:spacing w:after="0" w:before="0"/>
            </w:pPr>
            <w:r/>
            <w:r>
              <w:rPr>
                <w:b w:val="0"/>
                <w:i w:val="0"/>
                <w:color w:val="1A1A1A"/>
                <w:sz w:val="18"/>
              </w:rPr>
              <w:t>Vorlage mit Zahlen, Lehren, Audit, Kontext, Leitprinzipien</w:t>
            </w:r>
          </w:p>
        </w:tc>
        <w:tc>
          <w:tcPr>
            <w:tcW w:type="dxa" w:w="3175"/>
            <w:shd w:val="clear" w:color="auto" w:fill="F3EFE6"/>
          </w:tcPr>
          <w:p>
            <w:pPr>
              <w:spacing w:after="0" w:before="0"/>
            </w:pPr>
            <w:r/>
            <w:r>
              <w:rPr>
                <w:b w:val="0"/>
                <w:i w:val="0"/>
                <w:color w:val="1A1A1A"/>
                <w:sz w:val="18"/>
              </w:rPr>
              <w:t>Methode: Entscheidungsvorlage statt Jahresbericht</w:t>
            </w:r>
          </w:p>
        </w:tc>
      </w:tr>
      <w:tr>
        <w:trPr>
          <w:cantSplit w:val="true"/>
        </w:trPr>
        <w:tc>
          <w:tcPr>
            <w:tcW w:type="dxa" w:w="3288"/>
          </w:tcPr>
          <w:p>
            <w:pPr>
              <w:spacing w:after="0" w:before="0"/>
            </w:pPr>
            <w:r/>
            <w:r>
              <w:rPr>
                <w:b w:val="0"/>
                <w:i w:val="0"/>
                <w:color w:val="1A1A1A"/>
                <w:sz w:val="18"/>
              </w:rPr>
              <w:t>Ergebnisse als Entscheidungen; Politik, Ziele, Zweck prüfen (9.3.3)</w:t>
            </w:r>
          </w:p>
        </w:tc>
        <w:tc>
          <w:tcPr>
            <w:tcW w:type="dxa" w:w="3175"/>
          </w:tcPr>
          <w:p>
            <w:pPr>
              <w:spacing w:after="0" w:before="0"/>
            </w:pPr>
            <w:r/>
            <w:r>
              <w:rPr>
                <w:b w:val="0"/>
                <w:i w:val="0"/>
                <w:color w:val="1A1A1A"/>
                <w:sz w:val="18"/>
              </w:rPr>
              <w:t>Protokoll mit Entscheidung, Name, Termin</w:t>
            </w:r>
          </w:p>
        </w:tc>
        <w:tc>
          <w:tcPr>
            <w:tcW w:type="dxa" w:w="3175"/>
          </w:tcPr>
          <w:p>
            <w:pPr>
              <w:spacing w:after="0" w:before="0"/>
            </w:pPr>
            <w:r/>
            <w:r>
              <w:rPr>
                <w:b w:val="0"/>
                <w:i w:val="0"/>
                <w:color w:val="1A1A1A"/>
                <w:sz w:val="18"/>
              </w:rPr>
              <w:t>keine</w:t>
            </w:r>
          </w:p>
        </w:tc>
      </w:tr>
      <w:tr>
        <w:trPr>
          <w:cantSplit w:val="true"/>
        </w:trPr>
        <w:tc>
          <w:tcPr>
            <w:tcW w:type="dxa" w:w="3288"/>
            <w:shd w:val="clear" w:color="auto" w:fill="F3EFE6"/>
          </w:tcPr>
          <w:p>
            <w:pPr>
              <w:spacing w:after="0" w:before="0"/>
            </w:pPr>
            <w:r/>
            <w:r>
              <w:rPr>
                <w:b w:val="0"/>
                <w:i w:val="0"/>
                <w:color w:val="1A1A1A"/>
                <w:sz w:val="18"/>
              </w:rPr>
              <w:t>Bewertung gegenüber Zweck, Werten und Leitprinzipien (9.3.4)</w:t>
            </w:r>
          </w:p>
        </w:tc>
        <w:tc>
          <w:tcPr>
            <w:tcW w:type="dxa" w:w="3175"/>
            <w:shd w:val="clear" w:color="auto" w:fill="F3EFE6"/>
          </w:tcPr>
          <w:p>
            <w:pPr>
              <w:spacing w:after="0" w:before="0"/>
            </w:pPr>
            <w:r/>
            <w:r>
              <w:rPr>
                <w:b w:val="0"/>
                <w:i w:val="0"/>
                <w:color w:val="1A1A1A"/>
                <w:sz w:val="18"/>
              </w:rPr>
              <w:t>Selbsteinschätzung von fünf Personen, mit Begründung</w:t>
            </w:r>
          </w:p>
        </w:tc>
        <w:tc>
          <w:tcPr>
            <w:tcW w:type="dxa" w:w="3175"/>
            <w:shd w:val="clear" w:color="auto" w:fill="F3EFE6"/>
          </w:tcPr>
          <w:p>
            <w:pPr>
              <w:spacing w:after="0" w:before="0"/>
            </w:pPr>
            <w:r/>
            <w:r>
              <w:rPr>
                <w:b w:val="0"/>
                <w:i w:val="0"/>
                <w:color w:val="1A1A1A"/>
                <w:sz w:val="18"/>
              </w:rPr>
              <w:t>Reifegradmatrix (Tabelle A.5)</w:t>
            </w:r>
          </w:p>
        </w:tc>
      </w:tr>
      <w:tr>
        <w:trPr>
          <w:cantSplit w:val="true"/>
        </w:trPr>
        <w:tc>
          <w:tcPr>
            <w:tcW w:type="dxa" w:w="3288"/>
          </w:tcPr>
          <w:p>
            <w:pPr>
              <w:spacing w:after="0" w:before="0"/>
            </w:pPr>
            <w:r/>
            <w:r>
              <w:rPr>
                <w:b w:val="0"/>
                <w:i w:val="0"/>
                <w:color w:val="1A1A1A"/>
                <w:sz w:val="18"/>
              </w:rPr>
              <w:t>Eignung, Angemessenheit, Wirksamkeit fortlaufend verbessern (10.1)</w:t>
            </w:r>
          </w:p>
        </w:tc>
        <w:tc>
          <w:tcPr>
            <w:tcW w:type="dxa" w:w="3175"/>
          </w:tcPr>
          <w:p>
            <w:pPr>
              <w:spacing w:after="0" w:before="0"/>
            </w:pPr>
            <w:r/>
            <w:r>
              <w:rPr>
                <w:b w:val="0"/>
                <w:i w:val="0"/>
                <w:color w:val="1A1A1A"/>
                <w:sz w:val="18"/>
              </w:rPr>
              <w:t>Änderungen in Bankettformular, Dienstplan, Verträgen</w:t>
            </w:r>
          </w:p>
        </w:tc>
        <w:tc>
          <w:tcPr>
            <w:tcW w:type="dxa" w:w="3175"/>
          </w:tcPr>
          <w:p>
            <w:pPr>
              <w:spacing w:after="0" w:before="0"/>
            </w:pPr>
            <w:r/>
            <w:r>
              <w:rPr>
                <w:b w:val="0"/>
                <w:i w:val="0"/>
                <w:color w:val="1A1A1A"/>
                <w:sz w:val="18"/>
              </w:rPr>
              <w:t>Methode: Erreichtes im Ablauf festhalten</w:t>
            </w:r>
          </w:p>
        </w:tc>
      </w:tr>
      <w:tr>
        <w:trPr>
          <w:cantSplit w:val="true"/>
        </w:trPr>
        <w:tc>
          <w:tcPr>
            <w:tcW w:type="dxa" w:w="3288"/>
            <w:shd w:val="clear" w:color="auto" w:fill="F3EFE6"/>
          </w:tcPr>
          <w:p>
            <w:pPr>
              <w:spacing w:after="0" w:before="0"/>
            </w:pPr>
            <w:r/>
            <w:r>
              <w:rPr>
                <w:b w:val="0"/>
                <w:i w:val="0"/>
                <w:color w:val="1A1A1A"/>
                <w:sz w:val="18"/>
              </w:rPr>
              <w:t>Konformität freiwillig nachweisen (Abschnitt 1 d)</w:t>
            </w:r>
          </w:p>
        </w:tc>
        <w:tc>
          <w:tcPr>
            <w:tcW w:type="dxa" w:w="3175"/>
            <w:shd w:val="clear" w:color="auto" w:fill="F3EFE6"/>
          </w:tcPr>
          <w:p>
            <w:pPr>
              <w:spacing w:after="0" w:before="0"/>
            </w:pPr>
            <w:r/>
            <w:r>
              <w:rPr>
                <w:b w:val="0"/>
                <w:i w:val="0"/>
                <w:color w:val="1A1A1A"/>
                <w:sz w:val="18"/>
              </w:rPr>
              <w:t>datierte Selbsterklärung mit Anwendungsbereich</w:t>
            </w:r>
          </w:p>
        </w:tc>
        <w:tc>
          <w:tcPr>
            <w:tcW w:type="dxa" w:w="3175"/>
            <w:shd w:val="clear" w:color="auto" w:fill="F3EFE6"/>
          </w:tcPr>
          <w:p>
            <w:pPr>
              <w:spacing w:after="0" w:before="0"/>
            </w:pPr>
            <w:r/>
            <w:r>
              <w:rPr>
                <w:b w:val="0"/>
                <w:i w:val="0"/>
                <w:color w:val="1A1A1A"/>
                <w:sz w:val="18"/>
              </w:rPr>
              <w:t>A.24: Wege der Konformitätsaussage</w:t>
            </w:r>
          </w:p>
        </w:tc>
      </w:tr>
    </w:tbl>
    <w:p>
      <w:pPr>
        <w:spacing w:after="40"/>
      </w:pPr>
    </w:p>
    <w:p>
      <w:pPr>
        <w:pStyle w:val="Heading2"/>
      </w:pPr>
      <w:r>
        <w:t>DACH-Anker: wenn das Haus nach außen sagt, dass es sich verbessert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Rechtsgrundlage</w:t>
            </w:r>
          </w:p>
        </w:tc>
        <w:tc>
          <w:tcPr>
            <w:tcW w:type="dxa" w:w="2721"/>
          </w:tcPr>
          <w:p>
            <w:pPr>
              <w:spacing w:after="0" w:before="0"/>
            </w:pPr>
            <w:r/>
            <w:r>
              <w:rPr>
                <w:b w:val="0"/>
                <w:i w:val="0"/>
                <w:color w:val="1A1A1A"/>
                <w:sz w:val="17"/>
              </w:rPr>
              <w:t>UWG, geändert durch BGBl. 2026 I Nr. 43; ab 27. September 2026</w:t>
            </w:r>
          </w:p>
        </w:tc>
        <w:tc>
          <w:tcPr>
            <w:tcW w:type="dxa" w:w="2721"/>
          </w:tcPr>
          <w:p>
            <w:pPr>
              <w:spacing w:after="0" w:before="0"/>
            </w:pPr>
            <w:r/>
            <w:r>
              <w:rPr>
                <w:b w:val="0"/>
                <w:i w:val="0"/>
                <w:color w:val="1A1A1A"/>
                <w:sz w:val="17"/>
              </w:rPr>
              <w:t>UWG-Novelle, BGBl. I Nr. 58/2026; Umweltaussagen ab 27. September 2026</w:t>
            </w:r>
          </w:p>
        </w:tc>
        <w:tc>
          <w:tcPr>
            <w:tcW w:type="dxa" w:w="2721"/>
          </w:tcPr>
          <w:p>
            <w:pPr>
              <w:spacing w:after="0" w:before="0"/>
            </w:pPr>
            <w:r/>
            <w:r>
              <w:rPr>
                <w:b w:val="0"/>
                <w:i w:val="0"/>
                <w:color w:val="1A1A1A"/>
                <w:sz w:val="17"/>
              </w:rPr>
              <w:t>UWG, Art. 3 Abs. 1 lit. b und lit. x</w:t>
            </w:r>
          </w:p>
        </w:tc>
      </w:tr>
      <w:tr>
        <w:trPr>
          <w:cantSplit w:val="true"/>
        </w:trPr>
        <w:tc>
          <w:tcPr>
            <w:tcW w:type="dxa" w:w="1474"/>
            <w:shd w:val="clear" w:color="auto" w:fill="F3EFE6"/>
          </w:tcPr>
          <w:p>
            <w:pPr>
              <w:spacing w:after="0" w:before="0"/>
            </w:pPr>
            <w:r/>
            <w:r>
              <w:rPr>
                <w:b w:val="0"/>
                <w:i w:val="0"/>
                <w:color w:val="1A1A1A"/>
                <w:sz w:val="17"/>
              </w:rPr>
              <w:t>Eigenes Zeichen zur Selbsterklärung</w:t>
            </w:r>
          </w:p>
        </w:tc>
        <w:tc>
          <w:tcPr>
            <w:tcW w:type="dxa" w:w="2721"/>
            <w:shd w:val="clear" w:color="auto" w:fill="F3EFE6"/>
          </w:tcPr>
          <w:p>
            <w:pPr>
              <w:spacing w:after="0" w:before="0"/>
            </w:pPr>
            <w:r/>
            <w:r>
              <w:rPr>
                <w:b w:val="0"/>
                <w:i w:val="0"/>
                <w:color w:val="1A1A1A"/>
                <w:sz w:val="17"/>
              </w:rPr>
              <w:t>gegenüber Verbrauchern Nachhaltigkeitssiegel nur mit Zertifizierungssystem oder staatlicher Festsetzung (Anhang Nr. 2a)</w:t>
            </w:r>
          </w:p>
        </w:tc>
        <w:tc>
          <w:tcPr>
            <w:tcW w:type="dxa" w:w="2721"/>
            <w:shd w:val="clear" w:color="auto" w:fill="F3EFE6"/>
          </w:tcPr>
          <w:p>
            <w:pPr>
              <w:spacing w:after="0" w:before="0"/>
            </w:pPr>
            <w:r/>
            <w:r>
              <w:rPr>
                <w:b w:val="0"/>
                <w:i w:val="0"/>
                <w:color w:val="1A1A1A"/>
                <w:sz w:val="17"/>
              </w:rPr>
              <w:t>gleiche Regel gegenüber Verbrauchern aus derselben Richtlinie</w:t>
            </w:r>
          </w:p>
        </w:tc>
        <w:tc>
          <w:tcPr>
            <w:tcW w:type="dxa" w:w="2721"/>
            <w:shd w:val="clear" w:color="auto" w:fill="F3EFE6"/>
          </w:tcPr>
          <w:p>
            <w:pPr>
              <w:spacing w:after="0" w:before="0"/>
            </w:pPr>
            <w:r/>
            <w:r>
              <w:rPr>
                <w:b w:val="0"/>
                <w:i w:val="0"/>
                <w:color w:val="1A1A1A"/>
                <w:sz w:val="17"/>
              </w:rPr>
              <w:t>Richtlinie nicht übernommen; Irreführungsverbot</w:t>
            </w:r>
          </w:p>
        </w:tc>
      </w:tr>
      <w:tr>
        <w:trPr>
          <w:cantSplit w:val="true"/>
        </w:trPr>
        <w:tc>
          <w:tcPr>
            <w:tcW w:type="dxa" w:w="1474"/>
          </w:tcPr>
          <w:p>
            <w:pPr>
              <w:spacing w:after="0" w:before="0"/>
            </w:pPr>
            <w:r/>
            <w:r>
              <w:rPr>
                <w:b w:val="0"/>
                <w:i w:val="0"/>
                <w:color w:val="1A1A1A"/>
                <w:sz w:val="17"/>
              </w:rPr>
              <w:t>Aussage über künftige Leistung</w:t>
            </w:r>
          </w:p>
        </w:tc>
        <w:tc>
          <w:tcPr>
            <w:tcW w:type="dxa" w:w="2721"/>
          </w:tcPr>
          <w:p>
            <w:pPr>
              <w:spacing w:after="0" w:before="0"/>
            </w:pPr>
            <w:r/>
            <w:r>
              <w:rPr>
                <w:b w:val="0"/>
                <w:i w:val="0"/>
                <w:color w:val="1A1A1A"/>
                <w:sz w:val="17"/>
              </w:rPr>
              <w:t>gegenüber Verbrauchern: Umsetzungsplan, messbare und zeitgebundene Ziele, unabhängige externe Überprüfung (§ 5 Abs. 3 Nr. 4)</w:t>
            </w:r>
          </w:p>
        </w:tc>
        <w:tc>
          <w:tcPr>
            <w:tcW w:type="dxa" w:w="2721"/>
          </w:tcPr>
          <w:p>
            <w:pPr>
              <w:spacing w:after="0" w:before="0"/>
            </w:pPr>
            <w:r/>
            <w:r>
              <w:rPr>
                <w:b w:val="0"/>
                <w:i w:val="0"/>
                <w:color w:val="1A1A1A"/>
                <w:sz w:val="17"/>
              </w:rPr>
              <w:t>ebenso gegenüber Verbrauchern</w:t>
            </w:r>
          </w:p>
        </w:tc>
        <w:tc>
          <w:tcPr>
            <w:tcW w:type="dxa" w:w="2721"/>
          </w:tcPr>
          <w:p>
            <w:pPr>
              <w:spacing w:after="0" w:before="0"/>
            </w:pPr>
            <w:r/>
            <w:r>
              <w:rPr>
                <w:b w:val="0"/>
                <w:i w:val="0"/>
                <w:color w:val="1A1A1A"/>
                <w:sz w:val="17"/>
              </w:rPr>
              <w:t>Klimaaussagen nur mit objektiven und überprüfbaren Grundlagen (lit. x)</w:t>
            </w:r>
          </w:p>
        </w:tc>
      </w:tr>
      <w:tr>
        <w:trPr>
          <w:cantSplit w:val="true"/>
        </w:trPr>
        <w:tc>
          <w:tcPr>
            <w:tcW w:type="dxa" w:w="1474"/>
            <w:shd w:val="clear" w:color="auto" w:fill="F3EFE6"/>
          </w:tcPr>
          <w:p>
            <w:pPr>
              <w:spacing w:after="0" w:before="0"/>
            </w:pPr>
            <w:r/>
            <w:r>
              <w:rPr>
                <w:b w:val="0"/>
                <w:i w:val="0"/>
                <w:color w:val="1A1A1A"/>
                <w:sz w:val="17"/>
              </w:rPr>
              <w:t>Zertifikat nach ISO 20121</w:t>
            </w:r>
          </w:p>
        </w:tc>
        <w:tc>
          <w:tcPr>
            <w:tcW w:type="dxa" w:w="2721"/>
            <w:shd w:val="clear" w:color="auto" w:fill="F3EFE6"/>
          </w:tcPr>
          <w:p>
            <w:pPr>
              <w:spacing w:after="0" w:before="0"/>
            </w:pPr>
            <w:r/>
            <w:r>
              <w:rPr>
                <w:b w:val="0"/>
                <w:i w:val="0"/>
                <w:color w:val="1A1A1A"/>
                <w:sz w:val="17"/>
              </w:rPr>
              <w:t>angeboten; laut Branchenmeldung Programm bei der DAkkS eingereicht; Akkreditierung bis Redaktionsschluss nicht belegt, bei der einzelnen Stelle erfragen</w:t>
            </w:r>
          </w:p>
        </w:tc>
        <w:tc>
          <w:tcPr>
            <w:tcW w:type="dxa" w:w="2721"/>
            <w:shd w:val="clear" w:color="auto" w:fill="F3EFE6"/>
          </w:tcPr>
          <w:p>
            <w:pPr>
              <w:spacing w:after="0" w:before="0"/>
            </w:pPr>
            <w:r/>
            <w:r>
              <w:rPr>
                <w:b w:val="0"/>
                <w:i w:val="0"/>
                <w:color w:val="1A1A1A"/>
                <w:sz w:val="17"/>
              </w:rPr>
              <w:t>angeboten; Akkreditierung im Einzelfall erfragen</w:t>
            </w:r>
          </w:p>
        </w:tc>
        <w:tc>
          <w:tcPr>
            <w:tcW w:type="dxa" w:w="2721"/>
            <w:shd w:val="clear" w:color="auto" w:fill="F3EFE6"/>
          </w:tcPr>
          <w:p>
            <w:pPr>
              <w:spacing w:after="0" w:before="0"/>
            </w:pPr>
            <w:r/>
            <w:r>
              <w:rPr>
                <w:b w:val="0"/>
                <w:i w:val="0"/>
                <w:color w:val="1A1A1A"/>
                <w:sz w:val="17"/>
              </w:rPr>
              <w:t>angeboten; Akkreditierung im Einzelfall erfragen</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2.15 — Die Managementbewertung vorbereiten und führen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