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2.2</w:t>
      </w:r>
    </w:p>
    <w:p>
      <w:pPr>
        <w:pStyle w:val="Heading1"/>
      </w:pPr>
      <w:r>
        <w:t>Register und Einbeziehungsplan aufbauen</w:t>
      </w:r>
    </w:p>
    <w:p>
      <w:pPr>
        <w:spacing w:after="0"/>
      </w:pPr>
      <w:r>
        <w:rPr>
          <w:b w:val="0"/>
          <w:i/>
          <w:color w:val="5A5A5A"/>
        </w:rPr>
        <w:t>Abschnitt 2.2 · Interessierte Parteien bestimmen und einbeziehen</w:t>
      </w:r>
    </w:p>
    <w:p>
      <w:pPr>
        <w:spacing w:after="160"/>
      </w:pPr>
      <w:r>
        <w:rPr>
          <w:b w:val="0"/>
          <w:i w:val="0"/>
          <w:color w:val="5A5A5A"/>
          <w:sz w:val="18"/>
        </w:rPr>
        <w:t>Modellfall im Buch: Ulm</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ein Kunde Sie bittet, das Ergebnis Ihrer letzten Einbeziehung beizulegen: Können Sie sagen, mit wem Sie gesprochen haben, was Sie daraufhin geändert haben und was die Befragten davon erfahren haben? Oder legen Sie ihm einen Mittelwert bei?</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Der Einbeziehungsplan der ersten Runde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Partei und Rolle</w:t>
            </w:r>
          </w:p>
        </w:tc>
        <w:tc>
          <w:tcPr>
            <w:tcW w:type="dxa" w:w="3213"/>
            <w:shd w:val="clear" w:color="auto" w:fill="8C5A2B"/>
          </w:tcPr>
          <w:p>
            <w:pPr>
              <w:spacing w:after="0" w:before="0"/>
            </w:pPr>
            <w:r/>
            <w:r>
              <w:rPr>
                <w:b/>
                <w:i w:val="0"/>
                <w:color w:val="FFFFFF"/>
                <w:sz w:val="18"/>
              </w:rPr>
              <w:t>Form, Termin, Verantwortlich</w:t>
            </w:r>
          </w:p>
        </w:tc>
        <w:tc>
          <w:tcPr>
            <w:tcW w:type="dxa" w:w="3213"/>
            <w:shd w:val="clear" w:color="auto" w:fill="8C5A2B"/>
          </w:tcPr>
          <w:p>
            <w:pPr>
              <w:spacing w:after="0" w:before="0"/>
            </w:pPr>
            <w:r/>
            <w:r>
              <w:rPr>
                <w:b/>
                <w:i w:val="0"/>
                <w:color w:val="FFFFFF"/>
                <w:sz w:val="18"/>
              </w:rPr>
              <w:t>Ergebnis im Protokoll</w:t>
            </w:r>
          </w:p>
        </w:tc>
      </w:tr>
      <w:tr>
        <w:trPr>
          <w:cantSplit w:val="true"/>
        </w:trPr>
        <w:tc>
          <w:tcPr>
            <w:tcW w:type="dxa" w:w="3213"/>
          </w:tcPr>
          <w:p>
            <w:pPr>
              <w:spacing w:after="0" w:before="0"/>
            </w:pPr>
            <w:r/>
            <w:r>
              <w:rPr>
                <w:b w:val="0"/>
                <w:i w:val="0"/>
                <w:color w:val="1A1A1A"/>
                <w:sz w:val="18"/>
              </w:rPr>
              <w:t>Anwohner der Uferstraße (tragen Folgen)</w:t>
            </w:r>
          </w:p>
        </w:tc>
        <w:tc>
          <w:tcPr>
            <w:tcW w:type="dxa" w:w="3213"/>
          </w:tcPr>
          <w:p>
            <w:pPr>
              <w:spacing w:after="0" w:before="0"/>
            </w:pPr>
            <w:r/>
            <w:r>
              <w:rPr>
                <w:b w:val="0"/>
                <w:i w:val="0"/>
                <w:color w:val="1A1A1A"/>
                <w:sz w:val="18"/>
              </w:rPr>
              <w:t>Abend im Haus, Ende März; Direktorin</w:t>
            </w:r>
          </w:p>
        </w:tc>
        <w:tc>
          <w:tcPr>
            <w:tcW w:type="dxa" w:w="3213"/>
          </w:tcPr>
          <w:p>
            <w:pPr>
              <w:spacing w:after="0" w:before="0"/>
            </w:pPr>
            <w:r/>
            <w:r>
              <w:rPr>
                <w:b w:val="0"/>
                <w:i w:val="0"/>
                <w:color w:val="1A1A1A"/>
                <w:sz w:val="18"/>
              </w:rPr>
              <w:t>Busse, Musik auf der Terrasse, Terminliste gewünscht</w:t>
            </w:r>
          </w:p>
        </w:tc>
      </w:tr>
      <w:tr>
        <w:trPr>
          <w:cantSplit w:val="true"/>
        </w:trPr>
        <w:tc>
          <w:tcPr>
            <w:tcW w:type="dxa" w:w="3213"/>
            <w:shd w:val="clear" w:color="auto" w:fill="F3EFE6"/>
          </w:tcPr>
          <w:p>
            <w:pPr>
              <w:spacing w:after="0" w:before="0"/>
            </w:pPr>
            <w:r/>
            <w:r>
              <w:rPr>
                <w:b w:val="0"/>
                <w:i w:val="0"/>
                <w:color w:val="1A1A1A"/>
                <w:sz w:val="18"/>
              </w:rPr>
              <w:t>Ordnungsamt der Stadt (genehmigt)</w:t>
            </w:r>
          </w:p>
        </w:tc>
        <w:tc>
          <w:tcPr>
            <w:tcW w:type="dxa" w:w="3213"/>
            <w:shd w:val="clear" w:color="auto" w:fill="F3EFE6"/>
          </w:tcPr>
          <w:p>
            <w:pPr>
              <w:spacing w:after="0" w:before="0"/>
            </w:pPr>
            <w:r/>
            <w:r>
              <w:rPr>
                <w:b w:val="0"/>
                <w:i w:val="0"/>
                <w:color w:val="1A1A1A"/>
                <w:sz w:val="18"/>
              </w:rPr>
              <w:t>Gespräch, Anfang April; Direktorin</w:t>
            </w:r>
          </w:p>
        </w:tc>
        <w:tc>
          <w:tcPr>
            <w:tcW w:type="dxa" w:w="3213"/>
            <w:shd w:val="clear" w:color="auto" w:fill="F3EFE6"/>
          </w:tcPr>
          <w:p>
            <w:pPr>
              <w:spacing w:after="0" w:before="0"/>
            </w:pPr>
            <w:r/>
            <w:r>
              <w:rPr>
                <w:b w:val="0"/>
                <w:i w:val="0"/>
                <w:color w:val="1A1A1A"/>
                <w:sz w:val="18"/>
              </w:rPr>
              <w:t>erreichbare Person in der Nacht großer Feste</w:t>
            </w:r>
          </w:p>
        </w:tc>
      </w:tr>
      <w:tr>
        <w:trPr>
          <w:cantSplit w:val="true"/>
        </w:trPr>
        <w:tc>
          <w:tcPr>
            <w:tcW w:type="dxa" w:w="3213"/>
          </w:tcPr>
          <w:p>
            <w:pPr>
              <w:spacing w:after="0" w:before="0"/>
            </w:pPr>
            <w:r/>
            <w:r>
              <w:rPr>
                <w:b w:val="0"/>
                <w:i w:val="0"/>
                <w:color w:val="1A1A1A"/>
                <w:sz w:val="18"/>
              </w:rPr>
              <w:t>Busunternehmen, Disponentin und zwei Fahrer (liefern)</w:t>
            </w:r>
          </w:p>
        </w:tc>
        <w:tc>
          <w:tcPr>
            <w:tcW w:type="dxa" w:w="3213"/>
          </w:tcPr>
          <w:p>
            <w:pPr>
              <w:spacing w:after="0" w:before="0"/>
            </w:pPr>
            <w:r/>
            <w:r>
              <w:rPr>
                <w:b w:val="0"/>
                <w:i w:val="0"/>
                <w:color w:val="1A1A1A"/>
                <w:sz w:val="18"/>
              </w:rPr>
              <w:t>Gespräch, März; Veranstaltungsleiter</w:t>
            </w:r>
          </w:p>
        </w:tc>
        <w:tc>
          <w:tcPr>
            <w:tcW w:type="dxa" w:w="3213"/>
          </w:tcPr>
          <w:p>
            <w:pPr>
              <w:spacing w:after="0" w:before="0"/>
            </w:pPr>
            <w:r/>
            <w:r>
              <w:rPr>
                <w:b w:val="0"/>
                <w:i w:val="0"/>
                <w:color w:val="1A1A1A"/>
                <w:sz w:val="18"/>
              </w:rPr>
              <w:t>Wartezone mit Motor aus; Abfahrtszeiten früher bekannt</w:t>
            </w:r>
          </w:p>
        </w:tc>
      </w:tr>
      <w:tr>
        <w:trPr>
          <w:cantSplit w:val="true"/>
        </w:trPr>
        <w:tc>
          <w:tcPr>
            <w:tcW w:type="dxa" w:w="3213"/>
            <w:shd w:val="clear" w:color="auto" w:fill="F3EFE6"/>
          </w:tcPr>
          <w:p>
            <w:pPr>
              <w:spacing w:after="0" w:before="0"/>
            </w:pPr>
            <w:r/>
            <w:r>
              <w:rPr>
                <w:b w:val="0"/>
                <w:i w:val="0"/>
                <w:color w:val="1A1A1A"/>
                <w:sz w:val="18"/>
              </w:rPr>
              <w:t>Agentur, Inhaberin und acht Kräfte (liefern, arbeiten)</w:t>
            </w:r>
          </w:p>
        </w:tc>
        <w:tc>
          <w:tcPr>
            <w:tcW w:type="dxa" w:w="3213"/>
            <w:shd w:val="clear" w:color="auto" w:fill="F3EFE6"/>
          </w:tcPr>
          <w:p>
            <w:pPr>
              <w:spacing w:after="0" w:before="0"/>
            </w:pPr>
            <w:r/>
            <w:r>
              <w:rPr>
                <w:b w:val="0"/>
                <w:i w:val="0"/>
                <w:color w:val="1A1A1A"/>
                <w:sz w:val="18"/>
              </w:rPr>
              <w:t>zwei Gespräche, März; Veranstaltungsleiter</w:t>
            </w:r>
          </w:p>
        </w:tc>
        <w:tc>
          <w:tcPr>
            <w:tcW w:type="dxa" w:w="3213"/>
            <w:shd w:val="clear" w:color="auto" w:fill="F3EFE6"/>
          </w:tcPr>
          <w:p>
            <w:pPr>
              <w:spacing w:after="0" w:before="0"/>
            </w:pPr>
            <w:r/>
            <w:r>
              <w:rPr>
                <w:b w:val="0"/>
                <w:i w:val="0"/>
                <w:color w:val="1A1A1A"/>
                <w:sz w:val="18"/>
              </w:rPr>
              <w:t>Dienstpläne zehn Tage vorher; Heimweg nach Mitternacht</w:t>
            </w:r>
          </w:p>
        </w:tc>
      </w:tr>
      <w:tr>
        <w:trPr>
          <w:cantSplit w:val="true"/>
        </w:trPr>
        <w:tc>
          <w:tcPr>
            <w:tcW w:type="dxa" w:w="3213"/>
          </w:tcPr>
          <w:p>
            <w:pPr>
              <w:spacing w:after="0" w:before="0"/>
            </w:pPr>
            <w:r/>
            <w:r>
              <w:rPr>
                <w:b w:val="0"/>
                <w:i w:val="0"/>
                <w:color w:val="1A1A1A"/>
                <w:sz w:val="18"/>
              </w:rPr>
              <w:t>Drei Stammkunden (bestellen)</w:t>
            </w:r>
          </w:p>
        </w:tc>
        <w:tc>
          <w:tcPr>
            <w:tcW w:type="dxa" w:w="3213"/>
          </w:tcPr>
          <w:p>
            <w:pPr>
              <w:spacing w:after="0" w:before="0"/>
            </w:pPr>
            <w:r/>
            <w:r>
              <w:rPr>
                <w:b w:val="0"/>
                <w:i w:val="0"/>
                <w:color w:val="1A1A1A"/>
                <w:sz w:val="18"/>
              </w:rPr>
              <w:t>Videokonferenz, April; Veranstaltungsleiter</w:t>
            </w:r>
          </w:p>
        </w:tc>
        <w:tc>
          <w:tcPr>
            <w:tcW w:type="dxa" w:w="3213"/>
          </w:tcPr>
          <w:p>
            <w:pPr>
              <w:spacing w:after="0" w:before="0"/>
            </w:pPr>
            <w:r/>
            <w:r>
              <w:rPr>
                <w:b w:val="0"/>
                <w:i w:val="0"/>
                <w:color w:val="1A1A1A"/>
                <w:sz w:val="18"/>
              </w:rPr>
              <w:t>Bahnanreise in der Einladung; Zahlen nach dem Kongress</w:t>
            </w:r>
          </w:p>
        </w:tc>
      </w:tr>
    </w:tbl>
    <w:p>
      <w:pPr>
        <w:spacing w:after="40"/>
      </w:pPr>
    </w:p>
    <w:p>
      <w:pPr>
        <w:pStyle w:val="Heading2"/>
      </w:pPr>
      <w:r>
        <w:t>Praktische Anwendung: Register und Einbeziehungsplan in sieben Schritten aufbauen</w:t>
      </w:r>
    </w:p>
    <w:p>
      <w:pPr>
        <w:tabs>
          <w:tab w:pos="340" w:val="left"/>
        </w:tabs>
        <w:ind w:left="340" w:hanging="340"/>
      </w:pPr>
      <w:r>
        <w:rPr>
          <w:b/>
          <w:color w:val="8C5A2B"/>
        </w:rPr>
        <w:t>1.</w:t>
        <w:tab/>
      </w:r>
      <w:r>
        <w:rPr>
          <w:b/>
        </w:rPr>
        <w:t>Mit den Veranstaltungsarten beginnen.</w:t>
      </w:r>
      <w:r>
        <w:t xml:space="preserve"> Für Kongress, Firmenfeier, Hochzeit und eigenes Fest getrennt: Wer bestellt, plant, liefert, wirkt mit, besucht, genehmigt, trägt Folgen? Die Aufzählung unter 4.2 a) bis i) dient als Prüfung.</w:t>
      </w:r>
    </w:p>
    <w:p>
      <w:pPr>
        <w:tabs>
          <w:tab w:pos="340" w:val="left"/>
        </w:tabs>
        <w:ind w:left="340" w:hanging="340"/>
      </w:pPr>
      <w:r>
        <w:rPr>
          <w:b/>
          <w:color w:val="8C5A2B"/>
        </w:rPr>
        <w:t>2.</w:t>
        <w:tab/>
      </w:r>
      <w:r>
        <w:rPr>
          <w:b/>
        </w:rPr>
        <w:t>Das Register anlegen.</w:t>
      </w:r>
      <w:r>
        <w:t xml:space="preserve"> Je Partei eine Zeile: Gruppe, Rolle, Anforderungen mit Quelle, vereinbarter Weg, Verantwortlicher im Haus, letztes Gespräch. Privatpersonen nur mit Einwilligung namentlich.</w:t>
      </w:r>
    </w:p>
    <w:p>
      <w:pPr>
        <w:tabs>
          <w:tab w:pos="340" w:val="left"/>
        </w:tabs>
        <w:ind w:left="340" w:hanging="340"/>
      </w:pPr>
      <w:r>
        <w:rPr>
          <w:b/>
          <w:color w:val="8C5A2B"/>
        </w:rPr>
        <w:t>3.</w:t>
        <w:tab/>
      </w:r>
      <w:r>
        <w:rPr>
          <w:b/>
        </w:rPr>
        <w:t>Das vorhandene Wissen eintragen.</w:t>
      </w:r>
      <w:r>
        <w:t xml:space="preserve"> Beschwerden, Gesprächsnotizen von Verkauf, Einkauf und Rezeption, Verträge und Fragebögen der Kunden gehen in das Register, bevor jemand neu gefragt wird.</w:t>
      </w:r>
    </w:p>
    <w:p>
      <w:pPr>
        <w:tabs>
          <w:tab w:pos="340" w:val="left"/>
        </w:tabs>
        <w:ind w:left="340" w:hanging="340"/>
      </w:pPr>
      <w:r>
        <w:rPr>
          <w:b/>
          <w:color w:val="8C5A2B"/>
        </w:rPr>
        <w:t>4.</w:t>
        <w:tab/>
      </w:r>
      <w:r>
        <w:rPr>
          <w:b/>
        </w:rPr>
        <w:t>Den Plan schreiben.</w:t>
      </w:r>
      <w:r>
        <w:t xml:space="preserve"> Mit wem, wozu, auf welchem Weg, wie oft, wer führt das Gespräch. Den Weg fragt das Haus die Partei selbst.</w:t>
      </w:r>
    </w:p>
    <w:p>
      <w:pPr>
        <w:tabs>
          <w:tab w:pos="340" w:val="left"/>
        </w:tabs>
        <w:ind w:left="340" w:hanging="340"/>
      </w:pPr>
      <w:r>
        <w:rPr>
          <w:b/>
          <w:color w:val="8C5A2B"/>
        </w:rPr>
        <w:t>5.</w:t>
        <w:tab/>
      </w:r>
      <w:r>
        <w:rPr>
          <w:b/>
        </w:rPr>
        <w:t>Sprechen und protokollieren.</w:t>
      </w:r>
      <w:r>
        <w:t xml:space="preserve"> Eine Seite je Gespräch: Anliegen, Zusagen, offene Punkte, Frist für die Antwort.</w:t>
      </w:r>
    </w:p>
    <w:p>
      <w:pPr>
        <w:tabs>
          <w:tab w:pos="340" w:val="left"/>
        </w:tabs>
        <w:ind w:left="340" w:hanging="340"/>
      </w:pPr>
      <w:r>
        <w:rPr>
          <w:b/>
          <w:color w:val="8C5A2B"/>
        </w:rPr>
        <w:t>6.</w:t>
        <w:tab/>
      </w:r>
      <w:r>
        <w:rPr>
          <w:b/>
        </w:rPr>
        <w:t>Entscheiden.</w:t>
      </w:r>
      <w:r>
        <w:t xml:space="preserve"> Für jede Anforderung: aufgegriffen und wie, oder nicht aufgegriffen und warum. Was Kosten oder Verträge berührt, entscheidet die Direktion.</w:t>
      </w:r>
    </w:p>
    <w:p>
      <w:pPr>
        <w:tabs>
          <w:tab w:pos="340" w:val="left"/>
        </w:tabs>
        <w:ind w:left="340" w:hanging="340"/>
      </w:pPr>
      <w:r>
        <w:rPr>
          <w:b/>
          <w:color w:val="8C5A2B"/>
        </w:rPr>
        <w:t>7.</w:t>
        <w:tab/>
      </w:r>
      <w:r>
        <w:rPr>
          <w:b/>
        </w:rPr>
        <w:t>Zurückmelden und wiederholen.</w:t>
      </w:r>
      <w:r>
        <w:t xml:space="preserve"> Jede Partei erfährt, was aus ihrem Anliegen wurde, in ihrer Sprache und Form. Das Register wird nach jeder großen Veranstaltung und einmal im Jahr durchgesehen.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Mit den Veranstaltungsarten beginnen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Das Register anlegen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Das vorhandene Wissen eintragen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Plan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Sprechen und protokollieren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Entscheiden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Zurückmelden und wiederholen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ein Register, das über das Kundenverzeichnis hinausgeht?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bei jeder Partei ihre Rolle bei unseren Veranstaltungen?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 Anforderung eine Quelle und eine Entscheidung mit Begründung?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die Parteien gefragt, auf welchem Weg sie einbezogen werden wollen?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Sprechen wir mit den Kräften der Agentur selbst, nicht nur mit der Inhaberin?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zu jedem Gespräch ein kurzes Protokoll mit Zusagen und Fristen?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Erfährt jede Partei, was wir aufgegriffen haben und was nicht?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Namen von Privatpersonen nur mit deren Einverständnis im Register?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Eine Umfrage verschicken und es Einbeziehung nennen.</w:t>
      </w:r>
      <w:r>
        <w:t xml:space="preserve"> Es entsteht ein Mittelwert ohne Absender und ohne Folgen.</w:t>
      </w:r>
    </w:p>
    <w:p>
      <w:pPr>
        <w:tabs>
          <w:tab w:pos="340" w:val="left"/>
        </w:tabs>
        <w:ind w:left="340" w:hanging="340"/>
      </w:pPr>
      <w:r>
        <w:rPr>
          <w:color w:val="8C5A2B"/>
        </w:rPr>
        <w:t>–</w:t>
        <w:tab/>
      </w:r>
      <w:r>
        <w:rPr>
          <w:b/>
        </w:rPr>
        <w:t>Das Kundenverzeichnis als Register nehmen.</w:t>
      </w:r>
      <w:r>
        <w:t xml:space="preserve"> Wer nichts bucht, fehlt, auch wenn er die Folgen trägt.</w:t>
      </w:r>
    </w:p>
    <w:p>
      <w:pPr>
        <w:tabs>
          <w:tab w:pos="340" w:val="left"/>
        </w:tabs>
        <w:ind w:left="340" w:hanging="340"/>
      </w:pPr>
      <w:r>
        <w:rPr>
          <w:color w:val="8C5A2B"/>
        </w:rPr>
        <w:t>–</w:t>
        <w:tab/>
      </w:r>
      <w:r>
        <w:rPr>
          <w:b/>
        </w:rPr>
        <w:t>Nach Einfluss sortieren, statt nach Rolle.</w:t>
      </w:r>
      <w:r>
        <w:t xml:space="preserve"> Anwohner und Leihkräfte fallen dann aus der Planung.</w:t>
      </w:r>
    </w:p>
    <w:p>
      <w:pPr>
        <w:tabs>
          <w:tab w:pos="340" w:val="left"/>
        </w:tabs>
        <w:ind w:left="340" w:hanging="340"/>
      </w:pPr>
      <w:r>
        <w:rPr>
          <w:color w:val="8C5A2B"/>
        </w:rPr>
        <w:t>–</w:t>
        <w:tab/>
      </w:r>
      <w:r>
        <w:rPr>
          <w:b/>
        </w:rPr>
        <w:t>Wünsche sammeln und nicht entscheiden.</w:t>
      </w:r>
      <w:r>
        <w:t xml:space="preserve"> Unbeantwortete Erwartungen werden zu Enttäuschungen.</w:t>
      </w:r>
    </w:p>
    <w:p>
      <w:pPr>
        <w:tabs>
          <w:tab w:pos="340" w:val="left"/>
        </w:tabs>
        <w:ind w:left="340" w:hanging="340"/>
      </w:pPr>
      <w:r>
        <w:rPr>
          <w:color w:val="8C5A2B"/>
        </w:rPr>
        <w:t>–</w:t>
        <w:tab/>
      </w:r>
      <w:r>
        <w:rPr>
          <w:b/>
        </w:rPr>
        <w:t>Einen Kanal für alle wählen.</w:t>
      </w:r>
      <w:r>
        <w:t xml:space="preserve"> Wer den Fragebogen nicht liest, wird auch nicht gehört.</w:t>
      </w:r>
    </w:p>
    <w:p>
      <w:pPr>
        <w:tabs>
          <w:tab w:pos="340" w:val="left"/>
        </w:tabs>
        <w:ind w:left="340" w:hanging="340"/>
      </w:pPr>
      <w:r>
        <w:rPr>
          <w:color w:val="8C5A2B"/>
        </w:rPr>
        <w:t>–</w:t>
        <w:tab/>
      </w:r>
      <w:r>
        <w:rPr>
          <w:b/>
        </w:rPr>
        <w:t>Die Rückmeldung vergessen.</w:t>
      </w:r>
      <w:r>
        <w:t xml:space="preserve"> Wer nie erfährt, was aus seinem Anliegen wurde, spricht beim nächsten Mal mit dem Kunden statt mit dem Haus.</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Auftrag der Fachgesellschaft</w:t>
            </w:r>
          </w:p>
        </w:tc>
        <w:tc>
          <w:tcPr>
            <w:tcW w:type="dxa" w:w="1474"/>
          </w:tcPr>
          <w:p>
            <w:pPr>
              <w:spacing w:after="0" w:before="0"/>
            </w:pPr>
            <w:r/>
            <w:r>
              <w:rPr>
                <w:b w:val="0"/>
                <w:i w:val="0"/>
                <w:color w:val="1A1A1A"/>
                <w:sz w:val="18"/>
              </w:rPr>
              <w:t>€ 185.000</w:t>
            </w:r>
          </w:p>
        </w:tc>
        <w:tc>
          <w:tcPr>
            <w:tcW w:type="dxa" w:w="3175"/>
          </w:tcPr>
          <w:p>
            <w:pPr>
              <w:spacing w:after="0" w:before="0"/>
            </w:pPr>
            <w:r/>
            <w:r>
              <w:rPr>
                <w:b w:val="0"/>
                <w:i w:val="0"/>
                <w:color w:val="1A1A1A"/>
                <w:sz w:val="18"/>
              </w:rPr>
              <w:t>jährlich; Kongress mit 450 Teilnehmern, drei Tage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Register anlegen und vorhandenes Wissen eintragen</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einmalig, Veranstaltungsleiter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Sechs Gespräche zu je 2 Stunden, je zwei Personen aus dem Haus</w:t>
            </w:r>
          </w:p>
        </w:tc>
        <w:tc>
          <w:tcPr>
            <w:tcW w:type="dxa" w:w="1474"/>
          </w:tcPr>
          <w:p>
            <w:pPr>
              <w:spacing w:after="0" w:before="0"/>
            </w:pPr>
            <w:r/>
            <w:r>
              <w:rPr>
                <w:b w:val="0"/>
                <w:i w:val="0"/>
                <w:color w:val="1A1A1A"/>
                <w:sz w:val="18"/>
              </w:rPr>
              <w:t>24 Stunden</w:t>
            </w:r>
          </w:p>
        </w:tc>
        <w:tc>
          <w:tcPr>
            <w:tcW w:type="dxa" w:w="3175"/>
          </w:tcPr>
          <w:p>
            <w:pPr>
              <w:spacing w:after="0" w:before="0"/>
            </w:pPr>
            <w:r/>
            <w:r>
              <w:rPr>
                <w:b w:val="0"/>
                <w:i w:val="0"/>
                <w:color w:val="1A1A1A"/>
                <w:sz w:val="18"/>
              </w:rPr>
              <w:t>erste Runde, Agentur zweimal</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Protokolle und Entscheidungsvorlage</w:t>
            </w:r>
          </w:p>
        </w:tc>
        <w:tc>
          <w:tcPr>
            <w:tcW w:type="dxa" w:w="1474"/>
            <w:shd w:val="clear" w:color="auto" w:fill="F3EFE6"/>
          </w:tcPr>
          <w:p>
            <w:pPr>
              <w:spacing w:after="0" w:before="0"/>
            </w:pPr>
            <w:r/>
            <w:r>
              <w:rPr>
                <w:b w:val="0"/>
                <w:i w:val="0"/>
                <w:color w:val="1A1A1A"/>
                <w:sz w:val="18"/>
              </w:rPr>
              <w:t>9 Stunden</w:t>
            </w:r>
          </w:p>
        </w:tc>
        <w:tc>
          <w:tcPr>
            <w:tcW w:type="dxa" w:w="3175"/>
            <w:shd w:val="clear" w:color="auto" w:fill="F3EFE6"/>
          </w:tcPr>
          <w:p>
            <w:pPr>
              <w:spacing w:after="0" w:before="0"/>
            </w:pPr>
            <w:r/>
            <w:r>
              <w:rPr>
                <w:b w:val="0"/>
                <w:i w:val="0"/>
                <w:color w:val="1A1A1A"/>
                <w:sz w:val="18"/>
              </w:rPr>
              <w:t>erste Runde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Anwohnerabend: Bewirtung für 30 Gäste zu € 15</w:t>
            </w:r>
          </w:p>
        </w:tc>
        <w:tc>
          <w:tcPr>
            <w:tcW w:type="dxa" w:w="1474"/>
          </w:tcPr>
          <w:p>
            <w:pPr>
              <w:spacing w:after="0" w:before="0"/>
            </w:pPr>
            <w:r/>
            <w:r>
              <w:rPr>
                <w:b w:val="0"/>
                <w:i w:val="0"/>
                <w:color w:val="1A1A1A"/>
                <w:sz w:val="18"/>
              </w:rPr>
              <w:t>€ 450</w:t>
            </w:r>
          </w:p>
        </w:tc>
        <w:tc>
          <w:tcPr>
            <w:tcW w:type="dxa" w:w="3175"/>
          </w:tcPr>
          <w:p>
            <w:pPr>
              <w:spacing w:after="0" w:before="0"/>
            </w:pPr>
            <w:r/>
            <w:r>
              <w:rPr>
                <w:b w:val="0"/>
                <w:i w:val="0"/>
                <w:color w:val="1A1A1A"/>
                <w:sz w:val="18"/>
              </w:rPr>
              <w:t>jährlich</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Rückmeldebriefe und Antworten</w:t>
            </w:r>
          </w:p>
        </w:tc>
        <w:tc>
          <w:tcPr>
            <w:tcW w:type="dxa" w:w="1474"/>
            <w:shd w:val="clear" w:color="auto" w:fill="F3EFE6"/>
          </w:tcPr>
          <w:p>
            <w:pPr>
              <w:spacing w:after="0" w:before="0"/>
            </w:pPr>
            <w:r/>
            <w:r>
              <w:rPr>
                <w:b w:val="0"/>
                <w:i w:val="0"/>
                <w:color w:val="1A1A1A"/>
                <w:sz w:val="18"/>
              </w:rPr>
              <w:t>5 Stunden</w:t>
            </w:r>
          </w:p>
        </w:tc>
        <w:tc>
          <w:tcPr>
            <w:tcW w:type="dxa" w:w="3175"/>
            <w:shd w:val="clear" w:color="auto" w:fill="F3EFE6"/>
          </w:tcPr>
          <w:p>
            <w:pPr>
              <w:spacing w:after="0" w:before="0"/>
            </w:pPr>
            <w:r/>
            <w:r>
              <w:rPr>
                <w:b w:val="0"/>
                <w:i w:val="0"/>
                <w:color w:val="1A1A1A"/>
                <w:sz w:val="18"/>
              </w:rPr>
              <w:t>je Runde</w:t>
            </w:r>
          </w:p>
        </w:tc>
        <w:tc>
          <w:tcPr>
            <w:tcW w:type="dxa" w:w="1814"/>
            <w:shd w:val="clear" w:color="auto" w:fill="F3EFE6"/>
          </w:tcPr>
          <w:p>
            <w:pPr>
              <w:spacing w:after="0" w:before="0"/>
            </w:pPr>
            <w:r/>
            <w:r>
              <w:rPr>
                <w:b w:val="0"/>
                <w:i w:val="0"/>
                <w:color w:val="1A1A1A"/>
                <w:sz w:val="18"/>
              </w:rPr>
            </w:r>
          </w:p>
        </w:tc>
      </w:tr>
    </w:tbl>
    <w:p>
      <w:pPr>
        <w:spacing w:after="40"/>
      </w:pPr>
    </w:p>
    <w:p>
      <w:r>
        <w:rPr>
          <w:b w:val="0"/>
          <w:i w:val="0"/>
        </w:rPr>
        <w:t>Achtundvierzig Stunden und vierhundertfünfzig Euro stehen gegen einen Auftrag, der jedes Jahr wiederkehrt, solange die Kundin dem Haus glaubt. Graf hatte für die Umfrage zwölf Stunden gebraucht. Der Unterschied liegt nicht im Aufwand, sondern darin, was am Ende auf dem Tisch liegt.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Relevante Parteien bestimmen (4.2)</w:t>
            </w:r>
          </w:p>
        </w:tc>
        <w:tc>
          <w:tcPr>
            <w:tcW w:type="dxa" w:w="3175"/>
          </w:tcPr>
          <w:p>
            <w:pPr>
              <w:spacing w:after="0" w:before="0"/>
            </w:pPr>
            <w:r/>
            <w:r>
              <w:rPr>
                <w:b w:val="0"/>
                <w:i w:val="0"/>
                <w:color w:val="1A1A1A"/>
                <w:sz w:val="18"/>
              </w:rPr>
              <w:t>Register, gegliedert nach Veranstaltungsart</w:t>
            </w:r>
          </w:p>
        </w:tc>
        <w:tc>
          <w:tcPr>
            <w:tcW w:type="dxa" w:w="3175"/>
          </w:tcPr>
          <w:p>
            <w:pPr>
              <w:spacing w:after="0" w:before="0"/>
            </w:pPr>
            <w:r/>
            <w:r>
              <w:rPr>
                <w:b w:val="0"/>
                <w:i w:val="0"/>
                <w:color w:val="1A1A1A"/>
                <w:sz w:val="18"/>
              </w:rPr>
              <w:t>Rollen und Beispiele (Tabelle A.1)</w:t>
            </w:r>
          </w:p>
        </w:tc>
      </w:tr>
      <w:tr>
        <w:trPr>
          <w:cantSplit w:val="true"/>
        </w:trPr>
        <w:tc>
          <w:tcPr>
            <w:tcW w:type="dxa" w:w="3288"/>
            <w:shd w:val="clear" w:color="auto" w:fill="F3EFE6"/>
          </w:tcPr>
          <w:p>
            <w:pPr>
              <w:spacing w:after="0" w:before="0"/>
            </w:pPr>
            <w:r/>
            <w:r>
              <w:rPr>
                <w:b w:val="0"/>
                <w:i w:val="0"/>
                <w:color w:val="1A1A1A"/>
                <w:sz w:val="18"/>
              </w:rPr>
              <w:t>Anforderungen bestimmen und festlegen, was aufgegriffen wird (4.2)</w:t>
            </w:r>
          </w:p>
        </w:tc>
        <w:tc>
          <w:tcPr>
            <w:tcW w:type="dxa" w:w="3175"/>
            <w:shd w:val="clear" w:color="auto" w:fill="F3EFE6"/>
          </w:tcPr>
          <w:p>
            <w:pPr>
              <w:spacing w:after="0" w:before="0"/>
            </w:pPr>
            <w:r/>
            <w:r>
              <w:rPr>
                <w:b w:val="0"/>
                <w:i w:val="0"/>
                <w:color w:val="1A1A1A"/>
                <w:sz w:val="18"/>
              </w:rPr>
              <w:t>Spalte «aufgegriffen» mit Weg oder Grund</w:t>
            </w:r>
          </w:p>
        </w:tc>
        <w:tc>
          <w:tcPr>
            <w:tcW w:type="dxa" w:w="3175"/>
            <w:shd w:val="clear" w:color="auto" w:fill="F3EFE6"/>
          </w:tcPr>
          <w:p>
            <w:pPr>
              <w:spacing w:after="0" w:before="0"/>
            </w:pPr>
            <w:r/>
            <w:r>
              <w:rPr>
                <w:b w:val="0"/>
                <w:i w:val="0"/>
                <w:color w:val="1A1A1A"/>
                <w:sz w:val="18"/>
              </w:rPr>
              <w:t>Methode: Quelle je Anforderung</w:t>
            </w:r>
          </w:p>
        </w:tc>
      </w:tr>
      <w:tr>
        <w:trPr>
          <w:cantSplit w:val="true"/>
        </w:trPr>
        <w:tc>
          <w:tcPr>
            <w:tcW w:type="dxa" w:w="3288"/>
          </w:tcPr>
          <w:p>
            <w:pPr>
              <w:spacing w:after="0" w:before="0"/>
            </w:pPr>
            <w:r/>
            <w:r>
              <w:rPr>
                <w:b w:val="0"/>
                <w:i w:val="0"/>
                <w:color w:val="1A1A1A"/>
                <w:sz w:val="18"/>
              </w:rPr>
              <w:t>Prozess zur Identifizierung und Einbeziehung nach Rolle (4.2)</w:t>
            </w:r>
          </w:p>
        </w:tc>
        <w:tc>
          <w:tcPr>
            <w:tcW w:type="dxa" w:w="3175"/>
          </w:tcPr>
          <w:p>
            <w:pPr>
              <w:spacing w:after="0" w:before="0"/>
            </w:pPr>
            <w:r/>
            <w:r>
              <w:rPr>
                <w:b w:val="0"/>
                <w:i w:val="0"/>
                <w:color w:val="1A1A1A"/>
                <w:sz w:val="18"/>
              </w:rPr>
              <w:t>Einbeziehungsplan mit Termin und Namen</w:t>
            </w:r>
          </w:p>
        </w:tc>
        <w:tc>
          <w:tcPr>
            <w:tcW w:type="dxa" w:w="3175"/>
          </w:tcPr>
          <w:p>
            <w:pPr>
              <w:spacing w:after="0" w:before="0"/>
            </w:pPr>
            <w:r/>
            <w:r>
              <w:rPr>
                <w:b w:val="0"/>
                <w:i w:val="0"/>
                <w:color w:val="1A1A1A"/>
                <w:sz w:val="18"/>
              </w:rPr>
              <w:t>Formen der Einbeziehung (Anmerkung zu 4.2)</w:t>
            </w:r>
          </w:p>
        </w:tc>
      </w:tr>
      <w:tr>
        <w:trPr>
          <w:cantSplit w:val="true"/>
        </w:trPr>
        <w:tc>
          <w:tcPr>
            <w:tcW w:type="dxa" w:w="3288"/>
            <w:shd w:val="clear" w:color="auto" w:fill="F3EFE6"/>
          </w:tcPr>
          <w:p>
            <w:pPr>
              <w:spacing w:after="0" w:before="0"/>
            </w:pPr>
            <w:r/>
            <w:r>
              <w:rPr>
                <w:b w:val="0"/>
                <w:i w:val="0"/>
                <w:color w:val="1A1A1A"/>
                <w:sz w:val="18"/>
              </w:rPr>
              <w:t>Ergebnisse dokumentieren, wo angemessen (4.2)</w:t>
            </w:r>
          </w:p>
        </w:tc>
        <w:tc>
          <w:tcPr>
            <w:tcW w:type="dxa" w:w="3175"/>
            <w:shd w:val="clear" w:color="auto" w:fill="F3EFE6"/>
          </w:tcPr>
          <w:p>
            <w:pPr>
              <w:spacing w:after="0" w:before="0"/>
            </w:pPr>
            <w:r/>
            <w:r>
              <w:rPr>
                <w:b w:val="0"/>
                <w:i w:val="0"/>
                <w:color w:val="1A1A1A"/>
                <w:sz w:val="18"/>
              </w:rPr>
              <w:t>Protokoll je Gespräch, Rückmeldeschreiben</w:t>
            </w:r>
          </w:p>
        </w:tc>
        <w:tc>
          <w:tcPr>
            <w:tcW w:type="dxa" w:w="3175"/>
            <w:shd w:val="clear" w:color="auto" w:fill="F3EFE6"/>
          </w:tcPr>
          <w:p>
            <w:pPr>
              <w:spacing w:after="0" w:before="0"/>
            </w:pPr>
            <w:r/>
            <w:r>
              <w:rPr>
                <w:b w:val="0"/>
                <w:i w:val="0"/>
                <w:color w:val="1A1A1A"/>
                <w:sz w:val="18"/>
              </w:rPr>
              <w:t>Methode: eine Seite je Gespräch</w:t>
            </w:r>
          </w:p>
        </w:tc>
      </w:tr>
      <w:tr>
        <w:trPr>
          <w:cantSplit w:val="true"/>
        </w:trPr>
        <w:tc>
          <w:tcPr>
            <w:tcW w:type="dxa" w:w="3288"/>
          </w:tcPr>
          <w:p>
            <w:pPr>
              <w:spacing w:after="0" w:before="0"/>
            </w:pPr>
            <w:r/>
            <w:r>
              <w:rPr>
                <w:b w:val="0"/>
                <w:i w:val="0"/>
                <w:color w:val="1A1A1A"/>
                <w:sz w:val="18"/>
              </w:rPr>
              <w:t>Kommunikation mit Parteien; Mittel gemeinsam ermitteln (7.4)</w:t>
            </w:r>
          </w:p>
        </w:tc>
        <w:tc>
          <w:tcPr>
            <w:tcW w:type="dxa" w:w="3175"/>
          </w:tcPr>
          <w:p>
            <w:pPr>
              <w:spacing w:after="0" w:before="0"/>
            </w:pPr>
            <w:r/>
            <w:r>
              <w:rPr>
                <w:b w:val="0"/>
                <w:i w:val="0"/>
                <w:color w:val="1A1A1A"/>
                <w:sz w:val="18"/>
              </w:rPr>
              <w:t>vereinbarter Weg je Partei im Register</w:t>
            </w:r>
          </w:p>
        </w:tc>
        <w:tc>
          <w:tcPr>
            <w:tcW w:type="dxa" w:w="3175"/>
          </w:tcPr>
          <w:p>
            <w:pPr>
              <w:spacing w:after="0" w:before="0"/>
            </w:pPr>
            <w:r/>
            <w:r>
              <w:rPr>
                <w:b w:val="0"/>
                <w:i w:val="0"/>
                <w:color w:val="1A1A1A"/>
                <w:sz w:val="18"/>
              </w:rPr>
              <w:t>Barrierefreie Formate (A.15)</w:t>
            </w:r>
          </w:p>
        </w:tc>
      </w:tr>
      <w:tr>
        <w:trPr>
          <w:cantSplit w:val="true"/>
        </w:trPr>
        <w:tc>
          <w:tcPr>
            <w:tcW w:type="dxa" w:w="3288"/>
            <w:shd w:val="clear" w:color="auto" w:fill="F3EFE6"/>
          </w:tcPr>
          <w:p>
            <w:pPr>
              <w:spacing w:after="0" w:before="0"/>
            </w:pPr>
            <w:r/>
            <w:r>
              <w:rPr>
                <w:b w:val="0"/>
                <w:i w:val="0"/>
                <w:color w:val="1A1A1A"/>
                <w:sz w:val="18"/>
              </w:rPr>
              <w:t>Rückmeldungen als Inhalt, wo angemessen (7.4)</w:t>
            </w:r>
          </w:p>
        </w:tc>
        <w:tc>
          <w:tcPr>
            <w:tcW w:type="dxa" w:w="3175"/>
            <w:shd w:val="clear" w:color="auto" w:fill="F3EFE6"/>
          </w:tcPr>
          <w:p>
            <w:pPr>
              <w:spacing w:after="0" w:before="0"/>
            </w:pPr>
            <w:r/>
            <w:r>
              <w:rPr>
                <w:b w:val="0"/>
                <w:i w:val="0"/>
                <w:color w:val="1A1A1A"/>
                <w:sz w:val="18"/>
              </w:rPr>
              <w:t>Brief an die Anwohner, Antwort an die Agentur</w:t>
            </w:r>
          </w:p>
        </w:tc>
        <w:tc>
          <w:tcPr>
            <w:tcW w:type="dxa" w:w="3175"/>
            <w:shd w:val="clear" w:color="auto" w:fill="F3EFE6"/>
          </w:tcPr>
          <w:p>
            <w:pPr>
              <w:spacing w:after="0" w:before="0"/>
            </w:pPr>
            <w:r/>
            <w:r>
              <w:rPr>
                <w:b w:val="0"/>
                <w:i w:val="0"/>
                <w:color w:val="1A1A1A"/>
                <w:sz w:val="18"/>
              </w:rPr>
              <w:t>Bericht nach Veranstaltungen (C.3)</w:t>
            </w:r>
          </w:p>
        </w:tc>
      </w:tr>
    </w:tbl>
    <w:p>
      <w:pPr>
        <w:spacing w:after="40"/>
      </w:pPr>
    </w:p>
    <w:p>
      <w:pPr>
        <w:pStyle w:val="Heading2"/>
      </w:pPr>
      <w:r>
        <w:t>DACH-Anker: Register, Busse, Nachbarschaft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Personendaten im Register</w:t>
            </w:r>
          </w:p>
        </w:tc>
        <w:tc>
          <w:tcPr>
            <w:tcW w:type="dxa" w:w="2721"/>
          </w:tcPr>
          <w:p>
            <w:pPr>
              <w:spacing w:after="0" w:before="0"/>
            </w:pPr>
            <w:r/>
            <w:r>
              <w:rPr>
                <w:b w:val="0"/>
                <w:i w:val="0"/>
                <w:color w:val="1A1A1A"/>
                <w:sz w:val="17"/>
              </w:rPr>
              <w:t>DSGVO: festgelegte Zwecke, Datenminimierung (Art. 5 Abs. 1 b, c); Information bei der Erhebung (Art. 13)</w:t>
            </w:r>
          </w:p>
        </w:tc>
        <w:tc>
          <w:tcPr>
            <w:tcW w:type="dxa" w:w="2721"/>
          </w:tcPr>
          <w:p>
            <w:pPr>
              <w:spacing w:after="0" w:before="0"/>
            </w:pPr>
            <w:r/>
            <w:r>
              <w:rPr>
                <w:b w:val="0"/>
                <w:i w:val="0"/>
                <w:color w:val="1A1A1A"/>
                <w:sz w:val="17"/>
              </w:rPr>
              <w:t>DSGVO, ebenso</w:t>
            </w:r>
          </w:p>
        </w:tc>
        <w:tc>
          <w:tcPr>
            <w:tcW w:type="dxa" w:w="2721"/>
          </w:tcPr>
          <w:p>
            <w:pPr>
              <w:spacing w:after="0" w:before="0"/>
            </w:pPr>
            <w:r/>
            <w:r>
              <w:rPr>
                <w:b w:val="0"/>
                <w:i w:val="0"/>
                <w:color w:val="1A1A1A"/>
                <w:sz w:val="17"/>
              </w:rPr>
              <w:t>Datenschutzgesetz, neu in Kraft seit 1. September 2023; Pflicht, über die Bearbeitung zu informieren</w:t>
            </w:r>
          </w:p>
        </w:tc>
      </w:tr>
      <w:tr>
        <w:trPr>
          <w:cantSplit w:val="true"/>
        </w:trPr>
        <w:tc>
          <w:tcPr>
            <w:tcW w:type="dxa" w:w="1474"/>
            <w:shd w:val="clear" w:color="auto" w:fill="F3EFE6"/>
          </w:tcPr>
          <w:p>
            <w:pPr>
              <w:spacing w:after="0" w:before="0"/>
            </w:pPr>
            <w:r/>
            <w:r>
              <w:rPr>
                <w:b w:val="0"/>
                <w:i w:val="0"/>
                <w:color w:val="1A1A1A"/>
                <w:sz w:val="17"/>
              </w:rPr>
              <w:t>Busse mit laufendem Motor</w:t>
            </w:r>
          </w:p>
        </w:tc>
        <w:tc>
          <w:tcPr>
            <w:tcW w:type="dxa" w:w="2721"/>
            <w:shd w:val="clear" w:color="auto" w:fill="F3EFE6"/>
          </w:tcPr>
          <w:p>
            <w:pPr>
              <w:spacing w:after="0" w:before="0"/>
            </w:pPr>
            <w:r/>
            <w:r>
              <w:rPr>
                <w:b w:val="0"/>
                <w:i w:val="0"/>
                <w:color w:val="1A1A1A"/>
                <w:sz w:val="17"/>
              </w:rPr>
              <w:t>unnötiges Laufenlassen von Motoren verboten (§ 30 Abs. 1 StVO)</w:t>
            </w:r>
          </w:p>
        </w:tc>
        <w:tc>
          <w:tcPr>
            <w:tcW w:type="dxa" w:w="2721"/>
            <w:shd w:val="clear" w:color="auto" w:fill="F3EFE6"/>
          </w:tcPr>
          <w:p>
            <w:pPr>
              <w:spacing w:after="0" w:before="0"/>
            </w:pPr>
            <w:r/>
            <w:r>
              <w:rPr>
                <w:b w:val="0"/>
                <w:i w:val="0"/>
                <w:color w:val="1A1A1A"/>
                <w:sz w:val="17"/>
              </w:rPr>
              <w:t>kein vermeidbarer Lärm, keine vermeidbaren Emissionen; Warmlaufenlassen gilt als vermeidbar (§ 102 Abs. 4 KFG)</w:t>
            </w:r>
          </w:p>
        </w:tc>
        <w:tc>
          <w:tcPr>
            <w:tcW w:type="dxa" w:w="2721"/>
            <w:shd w:val="clear" w:color="auto" w:fill="F3EFE6"/>
          </w:tcPr>
          <w:p>
            <w:pPr>
              <w:spacing w:after="0" w:before="0"/>
            </w:pPr>
            <w:r/>
            <w:r>
              <w:rPr>
                <w:b w:val="0"/>
                <w:i w:val="0"/>
                <w:color w:val="1A1A1A"/>
                <w:sz w:val="17"/>
              </w:rPr>
              <w:t>Fahrzeugführer vermeiden Lärm und Belästigung (Art. 42 Abs. 1 SVG)</w:t>
            </w:r>
          </w:p>
        </w:tc>
      </w:tr>
      <w:tr>
        <w:trPr>
          <w:cantSplit w:val="true"/>
        </w:trPr>
        <w:tc>
          <w:tcPr>
            <w:tcW w:type="dxa" w:w="1474"/>
          </w:tcPr>
          <w:p>
            <w:pPr>
              <w:spacing w:after="0" w:before="0"/>
            </w:pPr>
            <w:r/>
            <w:r>
              <w:rPr>
                <w:b w:val="0"/>
                <w:i w:val="0"/>
                <w:color w:val="1A1A1A"/>
                <w:sz w:val="17"/>
              </w:rPr>
              <w:t>Lärm von Festen</w:t>
            </w:r>
          </w:p>
        </w:tc>
        <w:tc>
          <w:tcPr>
            <w:tcW w:type="dxa" w:w="2721"/>
          </w:tcPr>
          <w:p>
            <w:pPr>
              <w:spacing w:after="0" w:before="0"/>
            </w:pPr>
            <w:r/>
            <w:r>
              <w:rPr>
                <w:b w:val="0"/>
                <w:i w:val="0"/>
                <w:color w:val="1A1A1A"/>
                <w:sz w:val="17"/>
              </w:rPr>
              <w:t>Landes- und Gemeinderecht (1.12)</w:t>
            </w:r>
          </w:p>
        </w:tc>
        <w:tc>
          <w:tcPr>
            <w:tcW w:type="dxa" w:w="2721"/>
          </w:tcPr>
          <w:p>
            <w:pPr>
              <w:spacing w:after="0" w:before="0"/>
            </w:pPr>
            <w:r/>
            <w:r>
              <w:rPr>
                <w:b w:val="0"/>
                <w:i w:val="0"/>
                <w:color w:val="1A1A1A"/>
                <w:sz w:val="17"/>
              </w:rPr>
              <w:t>Landesrecht (1.12)</w:t>
            </w:r>
          </w:p>
        </w:tc>
        <w:tc>
          <w:tcPr>
            <w:tcW w:type="dxa" w:w="2721"/>
          </w:tcPr>
          <w:p>
            <w:pPr>
              <w:spacing w:after="0" w:before="0"/>
            </w:pPr>
            <w:r/>
            <w:r>
              <w:rPr>
                <w:b w:val="0"/>
                <w:i w:val="0"/>
                <w:color w:val="1A1A1A"/>
                <w:sz w:val="17"/>
              </w:rPr>
              <w:t>kantonales und kommunales Recht (1.12)</w:t>
            </w:r>
          </w:p>
        </w:tc>
      </w:tr>
      <w:tr>
        <w:trPr>
          <w:cantSplit w:val="true"/>
        </w:trPr>
        <w:tc>
          <w:tcPr>
            <w:tcW w:type="dxa" w:w="1474"/>
            <w:shd w:val="clear" w:color="auto" w:fill="F3EFE6"/>
          </w:tcPr>
          <w:p>
            <w:pPr>
              <w:spacing w:after="0" w:before="0"/>
            </w:pPr>
            <w:r/>
            <w:r>
              <w:rPr>
                <w:b w:val="0"/>
                <w:i w:val="0"/>
                <w:color w:val="1A1A1A"/>
                <w:sz w:val="17"/>
              </w:rPr>
              <w:t>Einbeziehung der Nachbarschaft</w:t>
            </w:r>
          </w:p>
        </w:tc>
        <w:tc>
          <w:tcPr>
            <w:tcW w:type="dxa" w:w="2721"/>
            <w:shd w:val="clear" w:color="auto" w:fill="F3EFE6"/>
          </w:tcPr>
          <w:p>
            <w:pPr>
              <w:spacing w:after="0" w:before="0"/>
            </w:pPr>
            <w:r/>
            <w:r>
              <w:rPr>
                <w:b w:val="0"/>
                <w:i w:val="0"/>
                <w:color w:val="1A1A1A"/>
                <w:sz w:val="17"/>
              </w:rPr>
              <w:t>keine allgemeine gesetzliche Pflicht; Prozess nach 4.2</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ebenso</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2.2 — Register und Einbeziehungsplan aufbauen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