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2.4</w:t>
      </w:r>
    </w:p>
    <w:p>
      <w:pPr>
        <w:pStyle w:val="Heading1"/>
      </w:pPr>
      <w:r>
        <w:t>Ziele für das erste Jahr planen</w:t>
      </w:r>
    </w:p>
    <w:p>
      <w:pPr>
        <w:spacing w:after="0"/>
      </w:pPr>
      <w:r>
        <w:rPr>
          <w:b w:val="0"/>
          <w:i/>
          <w:color w:val="5A5A5A"/>
        </w:rPr>
        <w:t>Abschnitt 2.4 · Ziele planen</w:t>
      </w:r>
    </w:p>
    <w:p>
      <w:pPr>
        <w:spacing w:after="160"/>
      </w:pPr>
      <w:r>
        <w:rPr>
          <w:b w:val="0"/>
          <w:i w:val="0"/>
          <w:color w:val="5A5A5A"/>
          <w:sz w:val="18"/>
        </w:rPr>
        <w:t>Modellfall im Buch: Konstanz</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Sie heute sagen müssten, was Ihr Haus bei Veranstaltungen bis zum Jahresende erreicht haben will: Nennen Sie eine Absicht oder eine Zahl, unter der Sie sich geschlagen geben? Und wer in Ihrem Haus würde es merken, wenn diese Zahl im Juli nicht mehr stimmt?</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Ein Zielblatt am Beispiel der Speisereste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Feld</w:t>
            </w:r>
          </w:p>
        </w:tc>
        <w:tc>
          <w:tcPr>
            <w:tcW w:type="dxa" w:w="3213"/>
            <w:shd w:val="clear" w:color="auto" w:fill="8C5A2B"/>
          </w:tcPr>
          <w:p>
            <w:pPr>
              <w:spacing w:after="0" w:before="0"/>
            </w:pPr>
            <w:r/>
            <w:r>
              <w:rPr>
                <w:b/>
                <w:i w:val="0"/>
                <w:color w:val="FFFFFF"/>
                <w:sz w:val="18"/>
              </w:rPr>
              <w:t>Eintrag</w:t>
            </w:r>
          </w:p>
        </w:tc>
        <w:tc>
          <w:tcPr>
            <w:tcW w:type="dxa" w:w="3213"/>
            <w:shd w:val="clear" w:color="auto" w:fill="8C5A2B"/>
          </w:tcPr>
          <w:p>
            <w:pPr>
              <w:spacing w:after="0" w:before="0"/>
            </w:pPr>
            <w:r/>
            <w:r>
              <w:rPr>
                <w:b/>
                <w:i w:val="0"/>
                <w:color w:val="FFFFFF"/>
                <w:sz w:val="18"/>
              </w:rPr>
              <w:t>Anmerkung</w:t>
            </w:r>
          </w:p>
        </w:tc>
      </w:tr>
      <w:tr>
        <w:trPr>
          <w:cantSplit w:val="true"/>
        </w:trPr>
        <w:tc>
          <w:tcPr>
            <w:tcW w:type="dxa" w:w="3213"/>
          </w:tcPr>
          <w:p>
            <w:pPr>
              <w:spacing w:after="0" w:before="0"/>
            </w:pPr>
            <w:r/>
            <w:r>
              <w:rPr>
                <w:b w:val="0"/>
                <w:i w:val="0"/>
                <w:color w:val="1A1A1A"/>
                <w:sz w:val="18"/>
              </w:rPr>
              <w:t>Thema und Bezug zur Politik</w:t>
            </w:r>
          </w:p>
        </w:tc>
        <w:tc>
          <w:tcPr>
            <w:tcW w:type="dxa" w:w="3213"/>
          </w:tcPr>
          <w:p>
            <w:pPr>
              <w:spacing w:after="0" w:before="0"/>
            </w:pPr>
            <w:r/>
            <w:r>
              <w:rPr>
                <w:b w:val="0"/>
                <w:i w:val="0"/>
                <w:color w:val="1A1A1A"/>
                <w:sz w:val="18"/>
              </w:rPr>
              <w:t>Speisereste bei Banketten; Satz 3 der Politik</w:t>
            </w:r>
          </w:p>
        </w:tc>
        <w:tc>
          <w:tcPr>
            <w:tcW w:type="dxa" w:w="3213"/>
          </w:tcPr>
          <w:p>
            <w:pPr>
              <w:spacing w:after="0" w:before="0"/>
            </w:pPr>
            <w:r/>
            <w:r>
              <w:rPr>
                <w:b w:val="0"/>
                <w:i w:val="0"/>
                <w:color w:val="1A1A1A"/>
                <w:sz w:val="18"/>
              </w:rPr>
              <w:t>Thema als bedeutend bewertet</w:t>
            </w:r>
          </w:p>
        </w:tc>
      </w:tr>
      <w:tr>
        <w:trPr>
          <w:cantSplit w:val="true"/>
        </w:trPr>
        <w:tc>
          <w:tcPr>
            <w:tcW w:type="dxa" w:w="3213"/>
            <w:shd w:val="clear" w:color="auto" w:fill="F3EFE6"/>
          </w:tcPr>
          <w:p>
            <w:pPr>
              <w:spacing w:after="0" w:before="0"/>
            </w:pPr>
            <w:r/>
            <w:r>
              <w:rPr>
                <w:b w:val="0"/>
                <w:i w:val="0"/>
                <w:color w:val="1A1A1A"/>
                <w:sz w:val="18"/>
              </w:rPr>
              <w:t>Messgröße</w:t>
            </w:r>
          </w:p>
        </w:tc>
        <w:tc>
          <w:tcPr>
            <w:tcW w:type="dxa" w:w="3213"/>
            <w:shd w:val="clear" w:color="auto" w:fill="F3EFE6"/>
          </w:tcPr>
          <w:p>
            <w:pPr>
              <w:spacing w:after="0" w:before="0"/>
            </w:pPr>
            <w:r/>
            <w:r>
              <w:rPr>
                <w:b w:val="0"/>
                <w:i w:val="0"/>
                <w:color w:val="1A1A1A"/>
                <w:sz w:val="18"/>
              </w:rPr>
              <w:t>Gramm Speisereste je Gedeck, Buffet- und Tellerreste, ohne Küchenabfälle der Vorbereitung</w:t>
            </w:r>
          </w:p>
        </w:tc>
        <w:tc>
          <w:tcPr>
            <w:tcW w:type="dxa" w:w="3213"/>
            <w:shd w:val="clear" w:color="auto" w:fill="F3EFE6"/>
          </w:tcPr>
          <w:p>
            <w:pPr>
              <w:spacing w:after="0" w:before="0"/>
            </w:pPr>
            <w:r/>
            <w:r>
              <w:rPr>
                <w:b w:val="0"/>
                <w:i w:val="0"/>
                <w:color w:val="1A1A1A"/>
                <w:sz w:val="18"/>
              </w:rPr>
              <w:t>je Veranstaltung gewogen</w:t>
            </w:r>
          </w:p>
        </w:tc>
      </w:tr>
      <w:tr>
        <w:trPr>
          <w:cantSplit w:val="true"/>
        </w:trPr>
        <w:tc>
          <w:tcPr>
            <w:tcW w:type="dxa" w:w="3213"/>
          </w:tcPr>
          <w:p>
            <w:pPr>
              <w:spacing w:after="0" w:before="0"/>
            </w:pPr>
            <w:r/>
            <w:r>
              <w:rPr>
                <w:b w:val="0"/>
                <w:i w:val="0"/>
                <w:color w:val="1A1A1A"/>
                <w:sz w:val="18"/>
              </w:rPr>
              <w:t>Basiswert</w:t>
            </w:r>
          </w:p>
        </w:tc>
        <w:tc>
          <w:tcPr>
            <w:tcW w:type="dxa" w:w="3213"/>
          </w:tcPr>
          <w:p>
            <w:pPr>
              <w:spacing w:after="0" w:before="0"/>
            </w:pPr>
            <w:r/>
            <w:r>
              <w:rPr>
                <w:b w:val="0"/>
                <w:i w:val="0"/>
                <w:color w:val="1A1A1A"/>
                <w:sz w:val="18"/>
              </w:rPr>
              <w:t>160 g je Gedeck</w:t>
            </w:r>
          </w:p>
        </w:tc>
        <w:tc>
          <w:tcPr>
            <w:tcW w:type="dxa" w:w="3213"/>
          </w:tcPr>
          <w:p>
            <w:pPr>
              <w:spacing w:after="0" w:before="0"/>
            </w:pPr>
            <w:r/>
            <w:r>
              <w:rPr>
                <w:b w:val="0"/>
                <w:i w:val="0"/>
                <w:color w:val="1A1A1A"/>
                <w:sz w:val="18"/>
              </w:rPr>
              <w:t>sechs Wochen, 16 Veranstaltungen, 1.900 Gedecke</w:t>
            </w:r>
          </w:p>
        </w:tc>
      </w:tr>
      <w:tr>
        <w:trPr>
          <w:cantSplit w:val="true"/>
        </w:trPr>
        <w:tc>
          <w:tcPr>
            <w:tcW w:type="dxa" w:w="3213"/>
            <w:shd w:val="clear" w:color="auto" w:fill="F3EFE6"/>
          </w:tcPr>
          <w:p>
            <w:pPr>
              <w:spacing w:after="0" w:before="0"/>
            </w:pPr>
            <w:r/>
            <w:r>
              <w:rPr>
                <w:b w:val="0"/>
                <w:i w:val="0"/>
                <w:color w:val="1A1A1A"/>
                <w:sz w:val="18"/>
              </w:rPr>
              <w:t>Zielwert und Termin</w:t>
            </w:r>
          </w:p>
        </w:tc>
        <w:tc>
          <w:tcPr>
            <w:tcW w:type="dxa" w:w="3213"/>
            <w:shd w:val="clear" w:color="auto" w:fill="F3EFE6"/>
          </w:tcPr>
          <w:p>
            <w:pPr>
              <w:spacing w:after="0" w:before="0"/>
            </w:pPr>
            <w:r/>
            <w:r>
              <w:rPr>
                <w:b w:val="0"/>
                <w:i w:val="0"/>
                <w:color w:val="1A1A1A"/>
                <w:sz w:val="18"/>
              </w:rPr>
              <w:t>höchstens 130 g im Mittel von Juli bis Dezember</w:t>
            </w:r>
          </w:p>
        </w:tc>
        <w:tc>
          <w:tcPr>
            <w:tcW w:type="dxa" w:w="3213"/>
            <w:shd w:val="clear" w:color="auto" w:fill="F3EFE6"/>
          </w:tcPr>
          <w:p>
            <w:pPr>
              <w:spacing w:after="0" w:before="0"/>
            </w:pPr>
            <w:r/>
            <w:r>
              <w:rPr>
                <w:b w:val="0"/>
                <w:i w:val="0"/>
                <w:color w:val="1A1A1A"/>
                <w:sz w:val="18"/>
              </w:rPr>
              <w:t>Mindestleistung; Anspruch 110 g</w:t>
            </w:r>
          </w:p>
        </w:tc>
      </w:tr>
      <w:tr>
        <w:trPr>
          <w:cantSplit w:val="true"/>
        </w:trPr>
        <w:tc>
          <w:tcPr>
            <w:tcW w:type="dxa" w:w="3213"/>
          </w:tcPr>
          <w:p>
            <w:pPr>
              <w:spacing w:after="0" w:before="0"/>
            </w:pPr>
            <w:r/>
            <w:r>
              <w:rPr>
                <w:b w:val="0"/>
                <w:i w:val="0"/>
                <w:color w:val="1A1A1A"/>
                <w:sz w:val="18"/>
              </w:rPr>
              <w:t>Verantwortlich</w:t>
            </w:r>
          </w:p>
        </w:tc>
        <w:tc>
          <w:tcPr>
            <w:tcW w:type="dxa" w:w="3213"/>
          </w:tcPr>
          <w:p>
            <w:pPr>
              <w:spacing w:after="0" w:before="0"/>
            </w:pPr>
            <w:r/>
            <w:r>
              <w:rPr>
                <w:b w:val="0"/>
                <w:i w:val="0"/>
                <w:color w:val="1A1A1A"/>
                <w:sz w:val="18"/>
              </w:rPr>
              <w:t>Küchenchef; Bankettleitung für Mengen im Bankettauftrag</w:t>
            </w:r>
          </w:p>
        </w:tc>
        <w:tc>
          <w:tcPr>
            <w:tcW w:type="dxa" w:w="3213"/>
          </w:tcPr>
          <w:p>
            <w:pPr>
              <w:spacing w:after="0" w:before="0"/>
            </w:pPr>
            <w:r/>
            <w:r>
              <w:rPr>
                <w:b w:val="0"/>
                <w:i w:val="0"/>
                <w:color w:val="1A1A1A"/>
                <w:sz w:val="18"/>
              </w:rPr>
              <w:t>Vertretung: Sous-Chef</w:t>
            </w:r>
          </w:p>
        </w:tc>
      </w:tr>
      <w:tr>
        <w:trPr>
          <w:cantSplit w:val="true"/>
        </w:trPr>
        <w:tc>
          <w:tcPr>
            <w:tcW w:type="dxa" w:w="3213"/>
            <w:shd w:val="clear" w:color="auto" w:fill="F3EFE6"/>
          </w:tcPr>
          <w:p>
            <w:pPr>
              <w:spacing w:after="0" w:before="0"/>
            </w:pPr>
            <w:r/>
            <w:r>
              <w:rPr>
                <w:b w:val="0"/>
                <w:i w:val="0"/>
                <w:color w:val="1A1A1A"/>
                <w:sz w:val="18"/>
              </w:rPr>
              <w:t>Maßnahmen und Mittel</w:t>
            </w:r>
          </w:p>
        </w:tc>
        <w:tc>
          <w:tcPr>
            <w:tcW w:type="dxa" w:w="3213"/>
            <w:shd w:val="clear" w:color="auto" w:fill="F3EFE6"/>
          </w:tcPr>
          <w:p>
            <w:pPr>
              <w:spacing w:after="0" w:before="0"/>
            </w:pPr>
            <w:r/>
            <w:r>
              <w:rPr>
                <w:b w:val="0"/>
                <w:i w:val="0"/>
                <w:color w:val="1A1A1A"/>
                <w:sz w:val="18"/>
              </w:rPr>
              <w:t>Mengenstaffel je Gästezahl, Nachmeldung bis 72 Stunden vorher, zwei Waagen</w:t>
            </w:r>
          </w:p>
        </w:tc>
        <w:tc>
          <w:tcPr>
            <w:tcW w:type="dxa" w:w="3213"/>
            <w:shd w:val="clear" w:color="auto" w:fill="F3EFE6"/>
          </w:tcPr>
          <w:p>
            <w:pPr>
              <w:spacing w:after="0" w:before="0"/>
            </w:pPr>
            <w:r/>
            <w:r>
              <w:rPr>
                <w:b w:val="0"/>
                <w:i w:val="0"/>
                <w:color w:val="1A1A1A"/>
                <w:sz w:val="18"/>
              </w:rPr>
              <w:t>€ 900, rund 48 Stunden Wiegen im Jahr</w:t>
            </w:r>
          </w:p>
        </w:tc>
      </w:tr>
      <w:tr>
        <w:trPr>
          <w:cantSplit w:val="true"/>
        </w:trPr>
        <w:tc>
          <w:tcPr>
            <w:tcW w:type="dxa" w:w="3213"/>
          </w:tcPr>
          <w:p>
            <w:pPr>
              <w:spacing w:after="0" w:before="0"/>
            </w:pPr>
            <w:r/>
            <w:r>
              <w:rPr>
                <w:b w:val="0"/>
                <w:i w:val="0"/>
                <w:color w:val="1A1A1A"/>
                <w:sz w:val="18"/>
              </w:rPr>
              <w:t>Bewertung</w:t>
            </w:r>
          </w:p>
        </w:tc>
        <w:tc>
          <w:tcPr>
            <w:tcW w:type="dxa" w:w="3213"/>
          </w:tcPr>
          <w:p>
            <w:pPr>
              <w:spacing w:after="0" w:before="0"/>
            </w:pPr>
            <w:r/>
            <w:r>
              <w:rPr>
                <w:b w:val="0"/>
                <w:i w:val="0"/>
                <w:color w:val="1A1A1A"/>
                <w:sz w:val="18"/>
              </w:rPr>
              <w:t>monatlich in der Abteilungsleiterrunde, Jahresbilanz im Januar</w:t>
            </w:r>
          </w:p>
        </w:tc>
        <w:tc>
          <w:tcPr>
            <w:tcW w:type="dxa" w:w="3213"/>
          </w:tcPr>
          <w:p>
            <w:pPr>
              <w:spacing w:after="0" w:before="0"/>
            </w:pPr>
            <w:r/>
            <w:r>
              <w:rPr>
                <w:b w:val="0"/>
                <w:i w:val="0"/>
                <w:color w:val="1A1A1A"/>
                <w:sz w:val="18"/>
              </w:rPr>
              <w:t>Ergebnis auch, wenn verfehlt</w:t>
            </w:r>
          </w:p>
        </w:tc>
      </w:tr>
    </w:tbl>
    <w:p>
      <w:pPr>
        <w:spacing w:after="40"/>
      </w:pPr>
    </w:p>
    <w:p>
      <w:pPr>
        <w:pStyle w:val="Heading2"/>
      </w:pPr>
      <w:r>
        <w:t>Praktische Anwendung: Ziele für das erste Jahr in sieben Schritten planen</w:t>
      </w:r>
    </w:p>
    <w:p>
      <w:pPr>
        <w:tabs>
          <w:tab w:pos="340" w:val="left"/>
        </w:tabs>
        <w:ind w:left="340" w:hanging="340"/>
      </w:pPr>
      <w:r>
        <w:rPr>
          <w:b/>
          <w:color w:val="8C5A2B"/>
        </w:rPr>
        <w:t>1.</w:t>
        <w:tab/>
      </w:r>
      <w:r>
        <w:rPr>
          <w:b/>
        </w:rPr>
        <w:t>Von den bedeutenden Themen ausgehen.</w:t>
      </w:r>
      <w:r>
        <w:t xml:space="preserve"> Die Liste der bewerteten Themen und die Politik liegen auf dem Tisch, nicht ein leeres Flipchart. Jedes Ziel muss sich auf ein Thema und einen Satz der Politik zurückführen lassen.</w:t>
      </w:r>
    </w:p>
    <w:p>
      <w:pPr>
        <w:tabs>
          <w:tab w:pos="340" w:val="left"/>
        </w:tabs>
        <w:ind w:left="340" w:hanging="340"/>
      </w:pPr>
      <w:r>
        <w:rPr>
          <w:b/>
          <w:color w:val="8C5A2B"/>
        </w:rPr>
        <w:t>2.</w:t>
        <w:tab/>
      </w:r>
      <w:r>
        <w:rPr>
          <w:b/>
        </w:rPr>
        <w:t>Die Betroffenen vorher hören.</w:t>
      </w:r>
      <w:r>
        <w:t xml:space="preserve"> Fragebögen von Kunden, Beschwerden, Hinweise der Mitarbeitenden aus dem letzten Jahr werden gelesen, bevor ein Ziel geschrieben wird. Wer etwas erwartet, soll es im Ziel wiederfinden oder eine Antwort bekommen, warum nicht.</w:t>
      </w:r>
    </w:p>
    <w:p>
      <w:pPr>
        <w:tabs>
          <w:tab w:pos="340" w:val="left"/>
        </w:tabs>
        <w:ind w:left="340" w:hanging="340"/>
      </w:pPr>
      <w:r>
        <w:rPr>
          <w:b/>
          <w:color w:val="8C5A2B"/>
        </w:rPr>
        <w:t>3.</w:t>
        <w:tab/>
      </w:r>
      <w:r>
        <w:rPr>
          <w:b/>
        </w:rPr>
        <w:t>Wenige Ziele wählen.</w:t>
      </w:r>
      <w:r>
        <w:t xml:space="preserve"> Drei bis fünf im ersten Jahr, jedes mit einer Person aus dem Leitungskreis. Die übrigen Themen bleiben auf der Liste, mit einem Satz, warum sie in diesem Jahr kein Ziel haben.</w:t>
      </w:r>
    </w:p>
    <w:p>
      <w:pPr>
        <w:tabs>
          <w:tab w:pos="340" w:val="left"/>
        </w:tabs>
        <w:ind w:left="340" w:hanging="340"/>
      </w:pPr>
      <w:r>
        <w:rPr>
          <w:b/>
          <w:color w:val="8C5A2B"/>
        </w:rPr>
        <w:t>4.</w:t>
        <w:tab/>
      </w:r>
      <w:r>
        <w:rPr>
          <w:b/>
        </w:rPr>
        <w:t>Messgröße und Basiswert festlegen.</w:t>
      </w:r>
      <w:r>
        <w:t xml:space="preserve"> Was genau gezählt oder gewogen wird, in welcher Einheit, je was. Fehlt der Basiswert, wird er mit Termin ermittelt, bevor der Zielwert gesetzt wird.</w:t>
      </w:r>
    </w:p>
    <w:p>
      <w:pPr>
        <w:tabs>
          <w:tab w:pos="340" w:val="left"/>
        </w:tabs>
        <w:ind w:left="340" w:hanging="340"/>
      </w:pPr>
      <w:r>
        <w:rPr>
          <w:b/>
          <w:color w:val="8C5A2B"/>
        </w:rPr>
        <w:t>5.</w:t>
        <w:tab/>
      </w:r>
      <w:r>
        <w:rPr>
          <w:b/>
        </w:rPr>
        <w:t>Den Zielwert als Untergrenze schreiben.</w:t>
      </w:r>
      <w:r>
        <w:t xml:space="preserve"> Die Zahl, unter der das Haus sagt, es habe das Ziel verfehlt. Ein Anspruch darüber darf daneben stehen, getrennt.</w:t>
      </w:r>
    </w:p>
    <w:p>
      <w:pPr>
        <w:tabs>
          <w:tab w:pos="340" w:val="left"/>
        </w:tabs>
        <w:ind w:left="340" w:hanging="340"/>
      </w:pPr>
      <w:r>
        <w:rPr>
          <w:b/>
          <w:color w:val="8C5A2B"/>
        </w:rPr>
        <w:t>6.</w:t>
        <w:tab/>
      </w:r>
      <w:r>
        <w:rPr>
          <w:b/>
        </w:rPr>
        <w:t>Konflikte benennen und entscheiden.</w:t>
      </w:r>
      <w:r>
        <w:t xml:space="preserve"> Wo zwei Ziele gegeneinander ziehen, steht im Zielblatt, wie entschieden wurde, mit welcher Begründung und wann die Entscheidung überprüft wird.</w:t>
      </w:r>
    </w:p>
    <w:p>
      <w:pPr>
        <w:tabs>
          <w:tab w:pos="340" w:val="left"/>
        </w:tabs>
        <w:ind w:left="340" w:hanging="340"/>
      </w:pPr>
      <w:r>
        <w:rPr>
          <w:b/>
          <w:color w:val="8C5A2B"/>
        </w:rPr>
        <w:t>7.</w:t>
        <w:tab/>
      </w:r>
      <w:r>
        <w:rPr>
          <w:b/>
        </w:rPr>
        <w:t>Plan, Mittel und Bewertung eintragen.</w:t>
      </w:r>
      <w:r>
        <w:t xml:space="preserve"> Maßnahmen mit Name, Betrag und Termin; monatlicher Vergleich in der Abteilungsleiterrunde; was nach außen geht, gibt die Direktion erst frei, wenn der Plan steht.</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Von den bedeutenden Themen ausgehen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Betroffenen vorher hören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Wenige Ziele wählen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Messgröße und Basiswert festlegen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Den Zielwert als Untergrenze schreiben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Konflikte benennen und entscheiden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Plan, Mittel und Bewertung eintragen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Lässt sich jedes Ziel auf einen Satz unserer Politik zurückführen?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Hat jedes Ziel eine Messgröße mit festgelegtem Rechenweg?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Kennen wir für jedes Ziel den Basiswert, oder steht ein Termin für seine Ermittlung fest?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für jedes Ziel eine Person verantwortlich, nicht eine Abteilung oder «alle»?</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Sind Mittel und Kosten jedes Ziels geplant und freigegeben?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Haben wir Zielkonflikte schriftlich entschieden, mit Begründung?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Vergleichen wir den Stand jedes Ziels mindestens monatlich?</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Geht kein Ziel nach außen, bevor ein Plan dazu besteht?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Absichten als Ziele schreiben.</w:t>
      </w:r>
      <w:r>
        <w:t xml:space="preserve"> «Deutlich reduzieren» lässt sich nie verfehlen und steuert deshalb nichts.</w:t>
      </w:r>
    </w:p>
    <w:p>
      <w:pPr>
        <w:tabs>
          <w:tab w:pos="340" w:val="left"/>
        </w:tabs>
        <w:ind w:left="340" w:hanging="340"/>
      </w:pPr>
      <w:r>
        <w:rPr>
          <w:color w:val="8C5A2B"/>
        </w:rPr>
        <w:t>–</w:t>
        <w:tab/>
      </w:r>
      <w:r>
        <w:rPr>
          <w:b/>
        </w:rPr>
        <w:t>Den Zielwert vor dem Basiswert setzen.</w:t>
      </w:r>
      <w:r>
        <w:t xml:space="preserve"> Die Hälfte von etwas Ungemessenem ist eine Zahl ohne Bezug.</w:t>
      </w:r>
    </w:p>
    <w:p>
      <w:pPr>
        <w:tabs>
          <w:tab w:pos="340" w:val="left"/>
        </w:tabs>
        <w:ind w:left="340" w:hanging="340"/>
      </w:pPr>
      <w:r>
        <w:rPr>
          <w:color w:val="8C5A2B"/>
        </w:rPr>
        <w:t>–</w:t>
        <w:tab/>
      </w:r>
      <w:r>
        <w:rPr>
          <w:b/>
        </w:rPr>
        <w:t>Zu viele Ziele beschließen.</w:t>
      </w:r>
      <w:r>
        <w:t xml:space="preserve"> Die Arbeit verteilt sich, bis niemand für eines Zeit hat.</w:t>
      </w:r>
    </w:p>
    <w:p>
      <w:pPr>
        <w:tabs>
          <w:tab w:pos="340" w:val="left"/>
        </w:tabs>
        <w:ind w:left="340" w:hanging="340"/>
      </w:pPr>
      <w:r>
        <w:rPr>
          <w:color w:val="8C5A2B"/>
        </w:rPr>
        <w:t>–</w:t>
        <w:tab/>
      </w:r>
      <w:r>
        <w:rPr>
          <w:b/>
        </w:rPr>
        <w:t>Maßnahmen für Ziele halten.</w:t>
      </w:r>
      <w:r>
        <w:t xml:space="preserve"> Eine gekaufte Ladesäule ist erreicht, gleich was sie bewirkt.</w:t>
      </w:r>
    </w:p>
    <w:p>
      <w:pPr>
        <w:tabs>
          <w:tab w:pos="340" w:val="left"/>
        </w:tabs>
        <w:ind w:left="340" w:hanging="340"/>
      </w:pPr>
      <w:r>
        <w:rPr>
          <w:color w:val="8C5A2B"/>
        </w:rPr>
        <w:t>–</w:t>
        <w:tab/>
      </w:r>
      <w:r>
        <w:rPr>
          <w:b/>
        </w:rPr>
        <w:t>Konflikte dem Sommer überlassen.</w:t>
      </w:r>
      <w:r>
        <w:t xml:space="preserve"> Dann entscheidet, was in der Kaffeepause schneller geht.</w:t>
      </w:r>
    </w:p>
    <w:p>
      <w:pPr>
        <w:tabs>
          <w:tab w:pos="340" w:val="left"/>
        </w:tabs>
        <w:ind w:left="340" w:hanging="340"/>
      </w:pPr>
      <w:r>
        <w:rPr>
          <w:color w:val="8C5A2B"/>
        </w:rPr>
        <w:t>–</w:t>
        <w:tab/>
      </w:r>
      <w:r>
        <w:rPr>
          <w:b/>
        </w:rPr>
        <w:t>Ziele vor dem Plan bewerben.</w:t>
      </w:r>
      <w:r>
        <w:t xml:space="preserve"> Eine angekündigte künftige Leistung braucht einen Umsetzungsplan, und der Kunde fragt danach.</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Zwei Plattformwaagen für die Abräumstation</w:t>
            </w:r>
          </w:p>
        </w:tc>
        <w:tc>
          <w:tcPr>
            <w:tcW w:type="dxa" w:w="1474"/>
          </w:tcPr>
          <w:p>
            <w:pPr>
              <w:spacing w:after="0" w:before="0"/>
            </w:pPr>
            <w:r/>
            <w:r>
              <w:rPr>
                <w:b w:val="0"/>
                <w:i w:val="0"/>
                <w:color w:val="1A1A1A"/>
                <w:sz w:val="18"/>
              </w:rPr>
              <w:t>€ 900</w:t>
            </w:r>
          </w:p>
        </w:tc>
        <w:tc>
          <w:tcPr>
            <w:tcW w:type="dxa" w:w="3175"/>
          </w:tcPr>
          <w:p>
            <w:pPr>
              <w:spacing w:after="0" w:before="0"/>
            </w:pPr>
            <w:r/>
            <w:r>
              <w:rPr>
                <w:b w:val="0"/>
                <w:i w:val="0"/>
                <w:color w:val="1A1A1A"/>
                <w:sz w:val="18"/>
              </w:rPr>
              <w:t>einmalig</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Wiegen und Eintragen: 190 Veranstaltungen × 0,25 Stunden</w:t>
            </w:r>
          </w:p>
        </w:tc>
        <w:tc>
          <w:tcPr>
            <w:tcW w:type="dxa" w:w="1474"/>
            <w:shd w:val="clear" w:color="auto" w:fill="F3EFE6"/>
          </w:tcPr>
          <w:p>
            <w:pPr>
              <w:spacing w:after="0" w:before="0"/>
            </w:pPr>
            <w:r/>
            <w:r>
              <w:rPr>
                <w:b w:val="0"/>
                <w:i w:val="0"/>
                <w:color w:val="1A1A1A"/>
                <w:sz w:val="18"/>
              </w:rPr>
              <w:t>47,5 Stunden</w:t>
            </w:r>
          </w:p>
        </w:tc>
        <w:tc>
          <w:tcPr>
            <w:tcW w:type="dxa" w:w="3175"/>
            <w:shd w:val="clear" w:color="auto" w:fill="F3EFE6"/>
          </w:tcPr>
          <w:p>
            <w:pPr>
              <w:spacing w:after="0" w:before="0"/>
            </w:pPr>
            <w:r/>
            <w:r>
              <w:rPr>
                <w:b w:val="0"/>
                <w:i w:val="0"/>
                <w:color w:val="1A1A1A"/>
                <w:sz w:val="18"/>
              </w:rPr>
              <w:t>jährlich, Spülküche und Bankett</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Weniger Speisereste: 30 g × 21.000 Gedecke = 630 kg, zu € 8 Wareneinsatz je kg</w:t>
            </w:r>
          </w:p>
        </w:tc>
        <w:tc>
          <w:tcPr>
            <w:tcW w:type="dxa" w:w="1474"/>
          </w:tcPr>
          <w:p>
            <w:pPr>
              <w:spacing w:after="0" w:before="0"/>
            </w:pPr>
            <w:r/>
            <w:r>
              <w:rPr>
                <w:b w:val="0"/>
                <w:i w:val="0"/>
                <w:color w:val="1A1A1A"/>
                <w:sz w:val="18"/>
              </w:rPr>
              <w:t>€ 5.040</w:t>
            </w:r>
          </w:p>
        </w:tc>
        <w:tc>
          <w:tcPr>
            <w:tcW w:type="dxa" w:w="3175"/>
          </w:tcPr>
          <w:p>
            <w:pPr>
              <w:spacing w:after="0" w:before="0"/>
            </w:pPr>
            <w:r/>
            <w:r>
              <w:rPr>
                <w:b w:val="0"/>
                <w:i w:val="0"/>
                <w:color w:val="1A1A1A"/>
                <w:sz w:val="18"/>
              </w:rPr>
              <w:t>jährlich, wenn die Mindestleistung erreicht wird</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Terrassenbar: 1.500 Mehrwegbecher zu € 2,40 und eine Gläserspülmaschine zu € 6.500</w:t>
            </w:r>
          </w:p>
        </w:tc>
        <w:tc>
          <w:tcPr>
            <w:tcW w:type="dxa" w:w="1474"/>
            <w:shd w:val="clear" w:color="auto" w:fill="F3EFE6"/>
          </w:tcPr>
          <w:p>
            <w:pPr>
              <w:spacing w:after="0" w:before="0"/>
            </w:pPr>
            <w:r/>
            <w:r>
              <w:rPr>
                <w:b w:val="0"/>
                <w:i w:val="0"/>
                <w:color w:val="1A1A1A"/>
                <w:sz w:val="18"/>
              </w:rPr>
              <w:t>€ 10.100</w:t>
            </w:r>
          </w:p>
        </w:tc>
        <w:tc>
          <w:tcPr>
            <w:tcW w:type="dxa" w:w="3175"/>
            <w:shd w:val="clear" w:color="auto" w:fill="F3EFE6"/>
          </w:tcPr>
          <w:p>
            <w:pPr>
              <w:spacing w:after="0" w:before="0"/>
            </w:pPr>
            <w:r/>
            <w:r>
              <w:rPr>
                <w:b w:val="0"/>
                <w:i w:val="0"/>
                <w:color w:val="1A1A1A"/>
                <w:sz w:val="18"/>
              </w:rPr>
              <w:t>einmalig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Nicht gekaufte Einwegbecher: 35.000 zu € 0,09</w:t>
            </w:r>
          </w:p>
        </w:tc>
        <w:tc>
          <w:tcPr>
            <w:tcW w:type="dxa" w:w="1474"/>
          </w:tcPr>
          <w:p>
            <w:pPr>
              <w:spacing w:after="0" w:before="0"/>
            </w:pPr>
            <w:r/>
            <w:r>
              <w:rPr>
                <w:b w:val="0"/>
                <w:i w:val="0"/>
                <w:color w:val="1A1A1A"/>
                <w:sz w:val="18"/>
              </w:rPr>
              <w:t>€ 3.150</w:t>
            </w:r>
          </w:p>
        </w:tc>
        <w:tc>
          <w:tcPr>
            <w:tcW w:type="dxa" w:w="3175"/>
          </w:tcPr>
          <w:p>
            <w:pPr>
              <w:spacing w:after="0" w:before="0"/>
            </w:pPr>
            <w:r/>
            <w:r>
              <w:rPr>
                <w:b w:val="0"/>
                <w:i w:val="0"/>
                <w:color w:val="1A1A1A"/>
                <w:sz w:val="18"/>
              </w:rPr>
              <w:t>jährlich; von 38.000 auf höchstens 3.000</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Rampe zum Seminarraum im Altbau</w:t>
            </w:r>
          </w:p>
        </w:tc>
        <w:tc>
          <w:tcPr>
            <w:tcW w:type="dxa" w:w="1474"/>
            <w:shd w:val="clear" w:color="auto" w:fill="F3EFE6"/>
          </w:tcPr>
          <w:p>
            <w:pPr>
              <w:spacing w:after="0" w:before="0"/>
            </w:pPr>
            <w:r/>
            <w:r>
              <w:rPr>
                <w:b w:val="0"/>
                <w:i w:val="0"/>
                <w:color w:val="1A1A1A"/>
                <w:sz w:val="18"/>
              </w:rPr>
              <w:t>€ 14.000</w:t>
            </w:r>
          </w:p>
        </w:tc>
        <w:tc>
          <w:tcPr>
            <w:tcW w:type="dxa" w:w="3175"/>
            <w:shd w:val="clear" w:color="auto" w:fill="F3EFE6"/>
          </w:tcPr>
          <w:p>
            <w:pPr>
              <w:spacing w:after="0" w:before="0"/>
            </w:pPr>
            <w:r/>
            <w:r>
              <w:rPr>
                <w:b w:val="0"/>
                <w:i w:val="0"/>
                <w:color w:val="1A1A1A"/>
                <w:sz w:val="18"/>
              </w:rPr>
              <w:t>einmalig, mit Planung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Zielblatt und Monatsvergleich: 12 × 1 Stunde × 4 Personen</w:t>
            </w:r>
          </w:p>
        </w:tc>
        <w:tc>
          <w:tcPr>
            <w:tcW w:type="dxa" w:w="1474"/>
          </w:tcPr>
          <w:p>
            <w:pPr>
              <w:spacing w:after="0" w:before="0"/>
            </w:pPr>
            <w:r/>
            <w:r>
              <w:rPr>
                <w:b w:val="0"/>
                <w:i w:val="0"/>
                <w:color w:val="1A1A1A"/>
                <w:sz w:val="18"/>
              </w:rPr>
              <w:t>48 Stunden</w:t>
            </w:r>
          </w:p>
        </w:tc>
        <w:tc>
          <w:tcPr>
            <w:tcW w:type="dxa" w:w="3175"/>
          </w:tcPr>
          <w:p>
            <w:pPr>
              <w:spacing w:after="0" w:before="0"/>
            </w:pPr>
            <w:r/>
            <w:r>
              <w:rPr>
                <w:b w:val="0"/>
                <w:i w:val="0"/>
                <w:color w:val="1A1A1A"/>
                <w:sz w:val="18"/>
              </w:rPr>
              <w:t>jährlich, Leitungskreis</w:t>
            </w:r>
          </w:p>
        </w:tc>
        <w:tc>
          <w:tcPr>
            <w:tcW w:type="dxa" w:w="1814"/>
          </w:tcPr>
          <w:p>
            <w:pPr>
              <w:spacing w:after="0" w:before="0"/>
            </w:pPr>
            <w:r/>
            <w:r>
              <w:rPr>
                <w:b w:val="0"/>
                <w:i w:val="0"/>
                <w:color w:val="1A1A1A"/>
                <w:sz w:val="18"/>
              </w:rPr>
            </w:r>
          </w:p>
        </w:tc>
      </w:tr>
    </w:tbl>
    <w:p>
      <w:pPr>
        <w:spacing w:after="40"/>
      </w:pPr>
    </w:p>
    <w:p>
      <w:r>
        <w:rPr>
          <w:b w:val="0"/>
          <w:i w:val="0"/>
        </w:rPr>
        <w:t>Die Rechnung zeigt, dass sich zwei der vier Ziele über die Jahre teilweise selbst tragen. Die Rampe bringt keinen Euro zurück. Sie steht im Zielblatt, weil eine Teilnehmerin im Herbst nicht in ihren Workshop kam.</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Ziele im Einklang mit Politik und Nachhaltigkeitszielen (6.2 a, c; 4.5)</w:t>
            </w:r>
          </w:p>
        </w:tc>
        <w:tc>
          <w:tcPr>
            <w:tcW w:type="dxa" w:w="3175"/>
          </w:tcPr>
          <w:p>
            <w:pPr>
              <w:spacing w:after="0" w:before="0"/>
            </w:pPr>
            <w:r/>
            <w:r>
              <w:rPr>
                <w:b w:val="0"/>
                <w:i w:val="0"/>
                <w:color w:val="1A1A1A"/>
                <w:sz w:val="18"/>
              </w:rPr>
              <w:t>Zielblatt mit Verweis auf den Satz der Politik</w:t>
            </w:r>
          </w:p>
        </w:tc>
        <w:tc>
          <w:tcPr>
            <w:tcW w:type="dxa" w:w="3175"/>
          </w:tcPr>
          <w:p>
            <w:pPr>
              <w:spacing w:after="0" w:before="0"/>
            </w:pPr>
            <w:r/>
            <w:r>
              <w:rPr>
                <w:b w:val="0"/>
                <w:i w:val="0"/>
                <w:color w:val="1A1A1A"/>
                <w:sz w:val="18"/>
              </w:rPr>
              <w:t>SMART (A.12)</w:t>
            </w:r>
          </w:p>
        </w:tc>
      </w:tr>
      <w:tr>
        <w:trPr>
          <w:cantSplit w:val="true"/>
        </w:trPr>
        <w:tc>
          <w:tcPr>
            <w:tcW w:type="dxa" w:w="3288"/>
            <w:shd w:val="clear" w:color="auto" w:fill="F3EFE6"/>
          </w:tcPr>
          <w:p>
            <w:pPr>
              <w:spacing w:after="0" w:before="0"/>
            </w:pPr>
            <w:r/>
            <w:r>
              <w:rPr>
                <w:b w:val="0"/>
                <w:i w:val="0"/>
                <w:color w:val="1A1A1A"/>
                <w:sz w:val="18"/>
              </w:rPr>
              <w:t>Messbar, wo praktikabel (6.2 b)</w:t>
            </w:r>
          </w:p>
        </w:tc>
        <w:tc>
          <w:tcPr>
            <w:tcW w:type="dxa" w:w="3175"/>
            <w:shd w:val="clear" w:color="auto" w:fill="F3EFE6"/>
          </w:tcPr>
          <w:p>
            <w:pPr>
              <w:spacing w:after="0" w:before="0"/>
            </w:pPr>
            <w:r/>
            <w:r>
              <w:rPr>
                <w:b w:val="0"/>
                <w:i w:val="0"/>
                <w:color w:val="1A1A1A"/>
                <w:sz w:val="18"/>
              </w:rPr>
              <w:t>Messgröße mit Basiswert und Rechenweg</w:t>
            </w:r>
          </w:p>
        </w:tc>
        <w:tc>
          <w:tcPr>
            <w:tcW w:type="dxa" w:w="3175"/>
            <w:shd w:val="clear" w:color="auto" w:fill="F3EFE6"/>
          </w:tcPr>
          <w:p>
            <w:pPr>
              <w:spacing w:after="0" w:before="0"/>
            </w:pPr>
            <w:r/>
            <w:r>
              <w:rPr>
                <w:b w:val="0"/>
                <w:i w:val="0"/>
                <w:color w:val="1A1A1A"/>
                <w:sz w:val="18"/>
              </w:rPr>
              <w:t>Kennzahlen nach Größe, Basiswerte (A.20)</w:t>
            </w:r>
          </w:p>
        </w:tc>
      </w:tr>
      <w:tr>
        <w:trPr>
          <w:cantSplit w:val="true"/>
        </w:trPr>
        <w:tc>
          <w:tcPr>
            <w:tcW w:type="dxa" w:w="3288"/>
          </w:tcPr>
          <w:p>
            <w:pPr>
              <w:spacing w:after="0" w:before="0"/>
            </w:pPr>
            <w:r/>
            <w:r>
              <w:rPr>
                <w:b w:val="0"/>
                <w:i w:val="0"/>
                <w:color w:val="1A1A1A"/>
                <w:sz w:val="18"/>
              </w:rPr>
              <w:t>Zutreffende Anforderungen berücksichtigen (6.2 d)</w:t>
            </w:r>
          </w:p>
        </w:tc>
        <w:tc>
          <w:tcPr>
            <w:tcW w:type="dxa" w:w="3175"/>
          </w:tcPr>
          <w:p>
            <w:pPr>
              <w:spacing w:after="0" w:before="0"/>
            </w:pPr>
            <w:r/>
            <w:r>
              <w:rPr>
                <w:b w:val="0"/>
                <w:i w:val="0"/>
                <w:color w:val="1A1A1A"/>
                <w:sz w:val="18"/>
              </w:rPr>
              <w:t>Zeile «Recht» im Zielblatt</w:t>
            </w:r>
          </w:p>
        </w:tc>
        <w:tc>
          <w:tcPr>
            <w:tcW w:type="dxa" w:w="3175"/>
          </w:tcPr>
          <w:p>
            <w:pPr>
              <w:spacing w:after="0" w:before="0"/>
            </w:pPr>
            <w:r/>
            <w:r>
              <w:rPr>
                <w:b w:val="0"/>
                <w:i w:val="0"/>
                <w:color w:val="1A1A1A"/>
                <w:sz w:val="18"/>
              </w:rPr>
              <w:t>Rechtskataster (1.12)</w:t>
            </w:r>
          </w:p>
        </w:tc>
      </w:tr>
      <w:tr>
        <w:trPr>
          <w:cantSplit w:val="true"/>
        </w:trPr>
        <w:tc>
          <w:tcPr>
            <w:tcW w:type="dxa" w:w="3288"/>
            <w:shd w:val="clear" w:color="auto" w:fill="F3EFE6"/>
          </w:tcPr>
          <w:p>
            <w:pPr>
              <w:spacing w:after="0" w:before="0"/>
            </w:pPr>
            <w:r/>
            <w:r>
              <w:rPr>
                <w:b w:val="0"/>
                <w:i w:val="0"/>
                <w:color w:val="1A1A1A"/>
                <w:sz w:val="18"/>
              </w:rPr>
              <w:t>Planung: was, Ressourcen, wer, wann, Bewertung (6.2)</w:t>
            </w:r>
          </w:p>
        </w:tc>
        <w:tc>
          <w:tcPr>
            <w:tcW w:type="dxa" w:w="3175"/>
            <w:shd w:val="clear" w:color="auto" w:fill="F3EFE6"/>
          </w:tcPr>
          <w:p>
            <w:pPr>
              <w:spacing w:after="0" w:before="0"/>
            </w:pPr>
            <w:r/>
            <w:r>
              <w:rPr>
                <w:b w:val="0"/>
                <w:i w:val="0"/>
                <w:color w:val="1A1A1A"/>
                <w:sz w:val="18"/>
              </w:rPr>
              <w:t>Maßnahmen mit Name, Betrag, Termin</w:t>
            </w:r>
          </w:p>
        </w:tc>
        <w:tc>
          <w:tcPr>
            <w:tcW w:type="dxa" w:w="3175"/>
            <w:shd w:val="clear" w:color="auto" w:fill="F3EFE6"/>
          </w:tcPr>
          <w:p>
            <w:pPr>
              <w:spacing w:after="0" w:before="0"/>
            </w:pPr>
            <w:r/>
            <w:r>
              <w:rPr>
                <w:b w:val="0"/>
                <w:i w:val="0"/>
                <w:color w:val="1A1A1A"/>
                <w:sz w:val="18"/>
              </w:rPr>
              <w:t>Ziel als Mindestleistung (A.12)</w:t>
            </w:r>
          </w:p>
        </w:tc>
      </w:tr>
      <w:tr>
        <w:trPr>
          <w:cantSplit w:val="true"/>
        </w:trPr>
        <w:tc>
          <w:tcPr>
            <w:tcW w:type="dxa" w:w="3288"/>
          </w:tcPr>
          <w:p>
            <w:pPr>
              <w:spacing w:after="0" w:before="0"/>
            </w:pPr>
            <w:r/>
            <w:r>
              <w:rPr>
                <w:b w:val="0"/>
                <w:i w:val="0"/>
                <w:color w:val="1A1A1A"/>
                <w:sz w:val="18"/>
              </w:rPr>
              <w:t>Überwacht, kommuniziert, aktualisiert, dokumentiert (6.2 e bis h)</w:t>
            </w:r>
          </w:p>
        </w:tc>
        <w:tc>
          <w:tcPr>
            <w:tcW w:type="dxa" w:w="3175"/>
          </w:tcPr>
          <w:p>
            <w:pPr>
              <w:spacing w:after="0" w:before="0"/>
            </w:pPr>
            <w:r/>
            <w:r>
              <w:rPr>
                <w:b w:val="0"/>
                <w:i w:val="0"/>
                <w:color w:val="1A1A1A"/>
                <w:sz w:val="18"/>
              </w:rPr>
              <w:t>Monatsvergleich, Aushang, Fassung mit Datum</w:t>
            </w:r>
          </w:p>
        </w:tc>
        <w:tc>
          <w:tcPr>
            <w:tcW w:type="dxa" w:w="3175"/>
          </w:tcPr>
          <w:p>
            <w:pPr>
              <w:spacing w:after="0" w:before="0"/>
            </w:pPr>
            <w:r/>
            <w:r>
              <w:rPr>
                <w:b w:val="0"/>
                <w:i w:val="0"/>
                <w:color w:val="1A1A1A"/>
                <w:sz w:val="18"/>
              </w:rPr>
              <w:t>Methode: drei bis fünf Ziele im ersten Jahr</w:t>
            </w:r>
          </w:p>
        </w:tc>
      </w:tr>
      <w:tr>
        <w:trPr>
          <w:cantSplit w:val="true"/>
        </w:trPr>
        <w:tc>
          <w:tcPr>
            <w:tcW w:type="dxa" w:w="3288"/>
            <w:shd w:val="clear" w:color="auto" w:fill="F3EFE6"/>
          </w:tcPr>
          <w:p>
            <w:pPr>
              <w:spacing w:after="0" w:before="0"/>
            </w:pPr>
            <w:r/>
            <w:r>
              <w:rPr>
                <w:b w:val="0"/>
                <w:i w:val="0"/>
                <w:color w:val="1A1A1A"/>
                <w:sz w:val="18"/>
              </w:rPr>
              <w:t>Lehren aus jeder Veranstaltung in die Planung (9.1 c)</w:t>
            </w:r>
          </w:p>
        </w:tc>
        <w:tc>
          <w:tcPr>
            <w:tcW w:type="dxa" w:w="3175"/>
            <w:shd w:val="clear" w:color="auto" w:fill="F3EFE6"/>
          </w:tcPr>
          <w:p>
            <w:pPr>
              <w:spacing w:after="0" w:before="0"/>
            </w:pPr>
            <w:r/>
            <w:r>
              <w:rPr>
                <w:b w:val="0"/>
                <w:i w:val="0"/>
                <w:color w:val="1A1A1A"/>
                <w:sz w:val="18"/>
              </w:rPr>
              <w:t>Notiz nach der Veranstaltung, Zeile im Zielblatt</w:t>
            </w:r>
          </w:p>
        </w:tc>
        <w:tc>
          <w:tcPr>
            <w:tcW w:type="dxa" w:w="3175"/>
            <w:shd w:val="clear" w:color="auto" w:fill="F3EFE6"/>
          </w:tcPr>
          <w:p>
            <w:pPr>
              <w:spacing w:after="0" w:before="0"/>
            </w:pPr>
            <w:r/>
            <w:r>
              <w:rPr>
                <w:b w:val="0"/>
                <w:i w:val="0"/>
                <w:color w:val="1A1A1A"/>
                <w:sz w:val="18"/>
              </w:rPr>
              <w:t>Parteien vor der Zielsetzung befragen (A.10)</w:t>
            </w:r>
          </w:p>
        </w:tc>
      </w:tr>
    </w:tbl>
    <w:p>
      <w:pPr>
        <w:spacing w:after="40"/>
      </w:pPr>
    </w:p>
    <w:p>
      <w:pPr>
        <w:pStyle w:val="Heading2"/>
      </w:pPr>
      <w:r>
        <w:t>DACH-Anker: was das Recht zu den Zielen des ersten Jahres sagt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Ziele öffentlich ankündigen</w:t>
            </w:r>
          </w:p>
        </w:tc>
        <w:tc>
          <w:tcPr>
            <w:tcW w:type="dxa" w:w="2721"/>
          </w:tcPr>
          <w:p>
            <w:pPr>
              <w:spacing w:after="0" w:before="0"/>
            </w:pPr>
            <w:r/>
            <w:r>
              <w:rPr>
                <w:b w:val="0"/>
                <w:i w:val="0"/>
                <w:color w:val="1A1A1A"/>
                <w:sz w:val="17"/>
              </w:rPr>
              <w:t>UWG ab 27. September 2026: Aussagen über künftige Umweltleistung gegenüber Verbrauchern nur mit Umsetzungsplan, messbaren und zeitgebundenen Zielen und unabhängiger externer Überprüfung (§ 5 Abs. 3 Nr. 4)</w:t>
            </w:r>
          </w:p>
        </w:tc>
        <w:tc>
          <w:tcPr>
            <w:tcW w:type="dxa" w:w="2721"/>
          </w:tcPr>
          <w:p>
            <w:pPr>
              <w:spacing w:after="0" w:before="0"/>
            </w:pPr>
            <w:r/>
            <w:r>
              <w:rPr>
                <w:b w:val="0"/>
                <w:i w:val="0"/>
                <w:color w:val="1A1A1A"/>
                <w:sz w:val="17"/>
              </w:rPr>
              <w:t>UWG-Novelle BGBl. I Nr. 58/2026, ebenso</w:t>
            </w:r>
          </w:p>
        </w:tc>
        <w:tc>
          <w:tcPr>
            <w:tcW w:type="dxa" w:w="2721"/>
          </w:tcPr>
          <w:p>
            <w:pPr>
              <w:spacing w:after="0" w:before="0"/>
            </w:pPr>
            <w:r/>
            <w:r>
              <w:rPr>
                <w:b w:val="0"/>
                <w:i w:val="0"/>
                <w:color w:val="1A1A1A"/>
                <w:sz w:val="17"/>
              </w:rPr>
              <w:t>Art. 3 Abs. 1 lit. x UWG für Angaben über die Klimawirkung; sonst lit. b</w:t>
            </w:r>
          </w:p>
        </w:tc>
      </w:tr>
      <w:tr>
        <w:trPr>
          <w:cantSplit w:val="true"/>
        </w:trPr>
        <w:tc>
          <w:tcPr>
            <w:tcW w:type="dxa" w:w="1474"/>
            <w:shd w:val="clear" w:color="auto" w:fill="F3EFE6"/>
          </w:tcPr>
          <w:p>
            <w:pPr>
              <w:spacing w:after="0" w:before="0"/>
            </w:pPr>
            <w:r/>
            <w:r>
              <w:rPr>
                <w:b w:val="0"/>
                <w:i w:val="0"/>
                <w:color w:val="1A1A1A"/>
                <w:sz w:val="17"/>
              </w:rPr>
              <w:t>Speisereste</w:t>
            </w:r>
          </w:p>
        </w:tc>
        <w:tc>
          <w:tcPr>
            <w:tcW w:type="dxa" w:w="2721"/>
            <w:shd w:val="clear" w:color="auto" w:fill="F3EFE6"/>
          </w:tcPr>
          <w:p>
            <w:pPr>
              <w:spacing w:after="0" w:before="0"/>
            </w:pPr>
            <w:r/>
            <w:r>
              <w:rPr>
                <w:b w:val="0"/>
                <w:i w:val="0"/>
                <w:color w:val="1A1A1A"/>
                <w:sz w:val="17"/>
              </w:rPr>
              <w:t>Richtlinie (EU) 2025/1892: minus 30 % je Kopf bis Ende 2030 gegenüber 2021 bis 2023, auch Gaststätten und Verpflegung; Umsetzung bis 17. Juni 2027</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Aktionsplan des Bundesrats vom 6. April 2022: Halbierung bis 2030 gegenüber 2017</w:t>
            </w:r>
          </w:p>
        </w:tc>
      </w:tr>
      <w:tr>
        <w:trPr>
          <w:cantSplit w:val="true"/>
        </w:trPr>
        <w:tc>
          <w:tcPr>
            <w:tcW w:type="dxa" w:w="1474"/>
          </w:tcPr>
          <w:p>
            <w:pPr>
              <w:spacing w:after="0" w:before="0"/>
            </w:pPr>
            <w:r/>
            <w:r>
              <w:rPr>
                <w:b w:val="0"/>
                <w:i w:val="0"/>
                <w:color w:val="1A1A1A"/>
                <w:sz w:val="17"/>
              </w:rPr>
              <w:t>Einweg aus Kunststoff</w:t>
            </w:r>
          </w:p>
        </w:tc>
        <w:tc>
          <w:tcPr>
            <w:tcW w:type="dxa" w:w="2721"/>
          </w:tcPr>
          <w:p>
            <w:pPr>
              <w:spacing w:after="0" w:before="0"/>
            </w:pPr>
            <w:r/>
            <w:r>
              <w:rPr>
                <w:b w:val="0"/>
                <w:i w:val="0"/>
                <w:color w:val="1A1A1A"/>
                <w:sz w:val="17"/>
              </w:rPr>
              <w:t>seit 3. Juli 2021 verboten: Einwegteller, -besteck und Trinkhalme aus Kunststoff sowie Becher aus expandiertem Polystyrol; andere Kunststoffbecher erlaubt</w:t>
            </w:r>
          </w:p>
        </w:tc>
        <w:tc>
          <w:tcPr>
            <w:tcW w:type="dxa" w:w="2721"/>
          </w:tcPr>
          <w:p>
            <w:pPr>
              <w:spacing w:after="0" w:before="0"/>
            </w:pPr>
            <w:r/>
            <w:r>
              <w:rPr>
                <w:b w:val="0"/>
                <w:i w:val="0"/>
                <w:color w:val="1A1A1A"/>
                <w:sz w:val="17"/>
              </w:rPr>
              <w:t>inhaltlich ebenso, seit Dezember 2021 (§ 13n AWG 2002), nach Richtlinie (EU) 2019/904</w:t>
            </w:r>
          </w:p>
        </w:tc>
        <w:tc>
          <w:tcPr>
            <w:tcW w:type="dxa" w:w="2721"/>
          </w:tcPr>
          <w:p>
            <w:pPr>
              <w:spacing w:after="0" w:before="0"/>
            </w:pPr>
            <w:r/>
            <w:r>
              <w:rPr>
                <w:b w:val="0"/>
                <w:i w:val="0"/>
                <w:color w:val="1A1A1A"/>
                <w:sz w:val="17"/>
              </w:rPr>
              <w:t>EU-Recht gilt nicht</w:t>
            </w:r>
          </w:p>
        </w:tc>
      </w:tr>
      <w:tr>
        <w:trPr>
          <w:cantSplit w:val="true"/>
        </w:trPr>
        <w:tc>
          <w:tcPr>
            <w:tcW w:type="dxa" w:w="1474"/>
            <w:shd w:val="clear" w:color="auto" w:fill="F3EFE6"/>
          </w:tcPr>
          <w:p>
            <w:pPr>
              <w:spacing w:after="0" w:before="0"/>
            </w:pPr>
            <w:r/>
            <w:r>
              <w:rPr>
                <w:b w:val="0"/>
                <w:i w:val="0"/>
                <w:color w:val="1A1A1A"/>
                <w:sz w:val="17"/>
              </w:rPr>
              <w:t>Verzehr vor Ort ab 2030</w:t>
            </w:r>
          </w:p>
        </w:tc>
        <w:tc>
          <w:tcPr>
            <w:tcW w:type="dxa" w:w="2721"/>
            <w:shd w:val="clear" w:color="auto" w:fill="F3EFE6"/>
          </w:tcPr>
          <w:p>
            <w:pPr>
              <w:spacing w:after="0" w:before="0"/>
            </w:pPr>
            <w:r/>
            <w:r>
              <w:rPr>
                <w:b w:val="0"/>
                <w:i w:val="0"/>
                <w:color w:val="1A1A1A"/>
                <w:sz w:val="17"/>
              </w:rPr>
              <w:t>Verordnung (EU) 2025/40, allgemein seit 12. August 2026; ab 1. Januar 2030 nach Art. 25 und Anhang V grundsätzlich keine Einwegkunststoffverpackungen im Gastgewerbe für Speisen und Getränke, die im Haus befüllt und verzehrt werden; Ausnahmen und Begriffe dort</w:t>
            </w:r>
          </w:p>
        </w:tc>
        <w:tc>
          <w:tcPr>
            <w:tcW w:type="dxa" w:w="2721"/>
            <w:shd w:val="clear" w:color="auto" w:fill="F3EFE6"/>
          </w:tcPr>
          <w:p>
            <w:pPr>
              <w:spacing w:after="0" w:before="0"/>
            </w:pPr>
            <w:r/>
            <w:r>
              <w:rPr>
                <w:b w:val="0"/>
                <w:i w:val="0"/>
                <w:color w:val="1A1A1A"/>
                <w:sz w:val="17"/>
              </w:rPr>
              <w:t>ebenso</w:t>
            </w:r>
          </w:p>
        </w:tc>
        <w:tc>
          <w:tcPr>
            <w:tcW w:type="dxa" w:w="2721"/>
            <w:shd w:val="clear" w:color="auto" w:fill="F3EFE6"/>
          </w:tcPr>
          <w:p>
            <w:pPr>
              <w:spacing w:after="0" w:before="0"/>
            </w:pPr>
            <w:r/>
            <w:r>
              <w:rPr>
                <w:b w:val="0"/>
                <w:i w:val="0"/>
                <w:color w:val="1A1A1A"/>
                <w:sz w:val="17"/>
              </w:rPr>
              <w:t>gilt nicht</w:t>
            </w:r>
          </w:p>
        </w:tc>
      </w:tr>
      <w:tr>
        <w:trPr>
          <w:cantSplit w:val="true"/>
        </w:trPr>
        <w:tc>
          <w:tcPr>
            <w:tcW w:type="dxa" w:w="1474"/>
          </w:tcPr>
          <w:p>
            <w:pPr>
              <w:spacing w:after="0" w:before="0"/>
            </w:pPr>
            <w:r/>
            <w:r>
              <w:rPr>
                <w:b w:val="0"/>
                <w:i w:val="0"/>
                <w:color w:val="1A1A1A"/>
                <w:sz w:val="17"/>
              </w:rPr>
              <w:t>Felchen aus dem See</w:t>
            </w:r>
          </w:p>
        </w:tc>
        <w:tc>
          <w:tcPr>
            <w:tcW w:type="dxa" w:w="2721"/>
          </w:tcPr>
          <w:p>
            <w:pPr>
              <w:spacing w:after="0" w:before="0"/>
            </w:pPr>
            <w:r/>
            <w:r>
              <w:rPr>
                <w:b w:val="0"/>
                <w:i w:val="0"/>
                <w:color w:val="1A1A1A"/>
                <w:sz w:val="17"/>
              </w:rPr>
              <w:t>Beschluss der Internationalen Bevollmächtigtenkonferenz für die Bodenseefischerei vom Juni 2026: Fang ab Mai 2027 wieder erlaubt, Mai bis August, weniger Fangtage</w:t>
            </w:r>
          </w:p>
        </w:tc>
        <w:tc>
          <w:tcPr>
            <w:tcW w:type="dxa" w:w="2721"/>
          </w:tcPr>
          <w:p>
            <w:pPr>
              <w:spacing w:after="0" w:before="0"/>
            </w:pPr>
            <w:r/>
            <w:r>
              <w:rPr>
                <w:b w:val="0"/>
                <w:i w:val="0"/>
                <w:color w:val="1A1A1A"/>
                <w:sz w:val="17"/>
              </w:rPr>
              <w:t>ebenso</w:t>
            </w:r>
          </w:p>
        </w:tc>
        <w:tc>
          <w:tcPr>
            <w:tcW w:type="dxa" w:w="2721"/>
          </w:tcPr>
          <w:p>
            <w:pPr>
              <w:spacing w:after="0" w:before="0"/>
            </w:pPr>
            <w:r/>
            <w:r>
              <w:rPr>
                <w:b w:val="0"/>
                <w:i w:val="0"/>
                <w:color w:val="1A1A1A"/>
                <w:sz w:val="17"/>
              </w:rPr>
              <w:t>ebenso</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2.4.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2.4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2.4 — Ziele für das erste Jahr planen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