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8C5A2B"/>
          <w:sz w:val="18"/>
        </w:rPr>
        <w:t>ARBEITSMATERIAL 2.5</w:t>
      </w:r>
    </w:p>
    <w:p>
      <w:pPr>
        <w:pStyle w:val="Heading1"/>
      </w:pPr>
      <w:r>
        <w:t>Ein Themenregister aufbauen</w:t>
      </w:r>
    </w:p>
    <w:p>
      <w:pPr>
        <w:spacing w:after="0"/>
      </w:pPr>
      <w:r>
        <w:rPr>
          <w:b w:val="0"/>
          <w:i/>
          <w:color w:val="5A5A5A"/>
        </w:rPr>
        <w:t>Abschnitt 2.5 · Themen bestimmen und bewerten</w:t>
      </w:r>
    </w:p>
    <w:p>
      <w:pPr>
        <w:spacing w:after="160"/>
      </w:pPr>
      <w:r>
        <w:rPr>
          <w:b w:val="0"/>
          <w:i w:val="0"/>
          <w:color w:val="5A5A5A"/>
          <w:sz w:val="18"/>
        </w:rPr>
        <w:t>Modellfall im Buch: Thun</w:t>
      </w:r>
    </w:p>
    <w:tbl>
      <w:tblPr>
        <w:tblW w:type="auto" w:w="0"/>
        <w:tblLook w:firstColumn="1" w:firstRow="1" w:lastColumn="0" w:lastRow="0" w:noHBand="0" w:noVBand="1" w:val="04A0"/>
        <w:tblCellMar>
          <w:top w:w="120" w:type="dxa"/>
          <w:left w:w="160" w:type="dxa"/>
          <w:bottom w:w="120" w:type="dxa"/>
          <w:right w:w="160" w:type="dxa"/>
        </w:tblCellMar>
      </w:tblPr>
      <w:tblGrid>
        <w:gridCol w:w="9638"/>
      </w:tblGrid>
      <w:tr>
        <w:tc>
          <w:tcPr>
            <w:tcW w:type="dxa" w:w="9638"/>
            <w:shd w:val="clear" w:color="auto" w:fill="EFE7DC"/>
          </w:tcPr>
          <w:p>
            <w:r/>
            <w:r>
              <w:rPr>
                <w:b/>
                <w:color w:val="8C5A2B"/>
                <w:sz w:val="18"/>
              </w:rPr>
              <w:t>LEITFRAGE</w:t>
              <w:br/>
            </w:r>
            <w:r>
              <w:rPr>
                <w:sz w:val="21"/>
              </w:rPr>
              <w:t>Wenn Ihnen jemand die Liste Ihrer bedeutenden Themen vorlegt und auf eine Zeile zeigt: Können Sie sagen, wer sie bewertet hat, nach welcher Regel und mit welcher Rückmeldung? Und wer ausser Ihnen hat diese Liste schon gesehen?</w:t>
            </w:r>
          </w:p>
        </w:tc>
      </w:tr>
    </w:tbl>
    <w:p>
      <w:pPr>
        <w:spacing w:after="0"/>
      </w:pPr>
    </w:p>
    <w:p>
      <w:r>
        <w:rPr>
          <w:sz w:val="18"/>
        </w:rPr>
        <w:t>Dieses Blatt gibt das Arbeitsmaterial des Abschnitts in bearbeitbarer Form wieder. Die Texte stammen aus dem Buch; die leeren Spalten sind für die Angaben des eigenen Hauses bestimmt.</w:t>
      </w:r>
    </w:p>
    <w:p>
      <w:pPr>
        <w:pStyle w:val="Heading2"/>
      </w:pPr>
      <w:r>
        <w:t>Das Werkzeug: Die Spalten des Themenregisters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CBB5"/>
          <w:left w:val="single" w:sz="4" w:color="D9CBB5"/>
          <w:bottom w:val="single" w:sz="4" w:color="D9CBB5"/>
          <w:right w:val="single" w:sz="4" w:color="D9CBB5"/>
          <w:insideH w:val="single" w:sz="4" w:color="D9CBB5"/>
          <w:insideV w:val="single" w:sz="4" w:color="D9CBB5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3213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Spalte</w:t>
            </w:r>
          </w:p>
        </w:tc>
        <w:tc>
          <w:tcPr>
            <w:tcW w:type="dxa" w:w="3213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Was hineingehört</w:t>
            </w:r>
          </w:p>
        </w:tc>
        <w:tc>
          <w:tcPr>
            <w:tcW w:type="dxa" w:w="3213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Wer sie füllt</w:t>
            </w:r>
          </w:p>
        </w:tc>
      </w:tr>
      <w:tr>
        <w:trPr>
          <w:cantSplit w:val="true"/>
        </w:trPr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Thema</w:t>
            </w:r>
          </w:p>
        </w:tc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auf der Ebene einer Entscheidung, mit Nummer</w:t>
            </w:r>
          </w:p>
        </w:tc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Hochzeitsplanerin nach der Runde</w:t>
            </w:r>
          </w:p>
        </w:tc>
      </w:tr>
      <w:tr>
        <w:trPr>
          <w:cantSplit w:val="true"/>
        </w:trPr>
        <w:tc>
          <w:tcPr>
            <w:tcW w:type="dxa" w:w="3213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Bereich und Einordnung</w:t>
            </w:r>
          </w:p>
        </w:tc>
        <w:tc>
          <w:tcPr>
            <w:tcW w:type="dxa" w:w="3213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ökologisch, sozial, wirtschaftlich; steuerbar, beeinflussbar, weder noch</w:t>
            </w:r>
          </w:p>
        </w:tc>
        <w:tc>
          <w:tcPr>
            <w:tcW w:type="dxa" w:w="3213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Runde der Abteilungsleiter</w:t>
            </w:r>
          </w:p>
        </w:tc>
      </w:tr>
      <w:tr>
        <w:trPr>
          <w:cantSplit w:val="true"/>
        </w:trPr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Bewertung je Kriterium</w:t>
            </w:r>
          </w:p>
        </w:tc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hoch, mittel, gering nach den Ankern des Kriterienblatts</w:t>
            </w:r>
          </w:p>
        </w:tc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zwei Personen unabhängig</w:t>
            </w:r>
          </w:p>
        </w:tc>
      </w:tr>
      <w:tr>
        <w:trPr>
          <w:cantSplit w:val="true"/>
        </w:trPr>
        <w:tc>
          <w:tcPr>
            <w:tcW w:type="dxa" w:w="3213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Gesamtstufe</w:t>
            </w:r>
          </w:p>
        </w:tc>
        <w:tc>
          <w:tcPr>
            <w:tcW w:type="dxa" w:w="3213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nach der Regel, nicht als Summe</w:t>
            </w:r>
          </w:p>
        </w:tc>
        <w:tc>
          <w:tcPr>
            <w:tcW w:type="dxa" w:w="3213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Hochzeitsplanerin</w:t>
            </w:r>
          </w:p>
        </w:tc>
      </w:tr>
      <w:tr>
        <w:trPr>
          <w:cantSplit w:val="true"/>
        </w:trPr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Begründung und Quelle</w:t>
            </w:r>
          </w:p>
        </w:tc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ein Satz, Nummer der Rückmeldung</w:t>
            </w:r>
          </w:p>
        </w:tc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wer bewertet hat</w:t>
            </w:r>
          </w:p>
        </w:tc>
      </w:tr>
      <w:tr>
        <w:trPr>
          <w:cantSplit w:val="true"/>
        </w:trPr>
        <w:tc>
          <w:tcPr>
            <w:tcW w:type="dxa" w:w="3213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Fassung</w:t>
            </w:r>
          </w:p>
        </w:tc>
        <w:tc>
          <w:tcPr>
            <w:tcW w:type="dxa" w:w="3213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Datum, Anlass der Änderung, Name</w:t>
            </w:r>
          </w:p>
        </w:tc>
        <w:tc>
          <w:tcPr>
            <w:tcW w:type="dxa" w:w="3213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Hochzeitsplanerin</w:t>
            </w:r>
          </w:p>
        </w:tc>
      </w:tr>
      <w:tr>
        <w:trPr>
          <w:cantSplit w:val="true"/>
        </w:trPr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Verteiler</w:t>
            </w:r>
          </w:p>
        </w:tc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wer welche Zeilen erhält, wann</w:t>
            </w:r>
          </w:p>
        </w:tc>
        <w:tc>
          <w:tcPr>
            <w:tcW w:type="dxa" w:w="3213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Direktorin gibt frei</w:t>
            </w:r>
          </w:p>
        </w:tc>
      </w:tr>
    </w:tbl>
    <w:p>
      <w:pPr>
        <w:spacing w:after="40"/>
      </w:pPr>
    </w:p>
    <w:p>
      <w:pPr>
        <w:pStyle w:val="Heading2"/>
      </w:pPr>
      <w:r>
        <w:t>Praktische Anwendung: ein Themenregister in sieben Schritten aufbauen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1.</w:t>
        <w:tab/>
      </w:r>
      <w:r>
        <w:rPr>
          <w:b/>
        </w:rPr>
        <w:t>Die Runde breit beginnen.</w:t>
      </w:r>
      <w:r>
        <w:t xml:space="preserve"> Abteilungsleiter, dazu die Floristin und wer sonst bei jeder Veranstaltung mitarbeitet, an einem Nachmittag. Gesammelt wird mit der Tabelle C.1 als Prüfliste, ohne zu bewerten.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2.</w:t>
        <w:tab/>
      </w:r>
      <w:r>
        <w:rPr>
          <w:b/>
        </w:rPr>
        <w:t>Die Themen auf Entscheidungsebene bringen.</w:t>
      </w:r>
      <w:r>
        <w:t xml:space="preserve"> Was niemand im Haus entscheiden kann, wird zusammengefasst; was zwei Verantwortliche hat, wird geteilt. Am Ende steht jede Zeile dort, wo jemand handeln kann.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3.</w:t>
        <w:tab/>
      </w:r>
      <w:r>
        <w:rPr>
          <w:b/>
        </w:rPr>
        <w:t>Das Kriterienblatt mit Ankern schreiben.</w:t>
      </w:r>
      <w:r>
        <w:t xml:space="preserve"> Für jedes Kriterium ein Satz je Stufe: hoch, mittel, gering. Die Direktion gibt das Blatt frei, bevor bewertet wird.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4.</w:t>
        <w:tab/>
      </w:r>
      <w:r>
        <w:rPr>
          <w:b/>
        </w:rPr>
        <w:t>Rückmeldungen nummerieren.</w:t>
      </w:r>
      <w:r>
        <w:t xml:space="preserve"> Briefe, Gespräche mit Brautpaaren, Hinweise des Personals bekommen eine Nummer und ein Datum. Wer ein Thema anspricht, wird in der Begründung genannt.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5.</w:t>
        <w:tab/>
      </w:r>
      <w:r>
        <w:rPr>
          <w:b/>
        </w:rPr>
        <w:t>Zu zweit bewerten, nach Regel.</w:t>
      </w:r>
      <w:r>
        <w:t xml:space="preserve"> Zwei Personen unabhängig, Abweichungen von mehr als einer Stufe werden besprochen. Die Gesamtstufe folgt aus der Regel, nicht aus einer Summe.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6.</w:t>
        <w:tab/>
      </w:r>
      <w:r>
        <w:rPr>
          <w:b/>
        </w:rPr>
        <w:t>Jede Zeile begründen.</w:t>
      </w:r>
      <w:r>
        <w:t xml:space="preserve"> Ein Satz und die Nummer der Quelle. Fehlt eine Zahl zum Thema, steht das in der Begründung.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7.</w:t>
        <w:tab/>
      </w:r>
      <w:r>
        <w:rPr>
          <w:b/>
        </w:rPr>
        <w:t>Fassung und Verteiler festlegen.</w:t>
      </w:r>
      <w:r>
        <w:t xml:space="preserve"> Datum, Anlässe der Fortschreibung, Liste der Empfänger mit den Zeilen, die sie betreffen. Nach jeder Saison wird das Register in derselben Runde überprüft.</w:t>
      </w:r>
    </w:p>
    <w:p>
      <w:pPr>
        <w:keepNext/>
        <w:spacing w:after="40"/>
      </w:pPr>
      <w:r>
        <w:rPr>
          <w:b/>
          <w:i w:val="0"/>
          <w:color w:val="8C5A2B"/>
          <w:sz w:val="18"/>
        </w:rPr>
        <w:t>Umsetzung im eigenen Haus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CBB5"/>
          <w:left w:val="single" w:sz="4" w:color="D9CBB5"/>
          <w:bottom w:val="single" w:sz="4" w:color="D9CBB5"/>
          <w:right w:val="single" w:sz="4" w:color="D9CBB5"/>
          <w:insideH w:val="single" w:sz="4" w:color="D9CBB5"/>
          <w:insideV w:val="single" w:sz="4" w:color="D9CBB5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4649"/>
        <w:gridCol w:w="2041"/>
        <w:gridCol w:w="1474"/>
        <w:gridCol w:w="1474"/>
      </w:tblGrid>
      <w:tr>
        <w:trPr>
          <w:cantSplit w:val="true"/>
          <w:tblHeader w:val="true"/>
        </w:trPr>
        <w:tc>
          <w:tcPr>
            <w:tcW w:type="dxa" w:w="4649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Schritt</w:t>
            </w:r>
          </w:p>
        </w:tc>
        <w:tc>
          <w:tcPr>
            <w:tcW w:type="dxa" w:w="2041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Verantwortlich</w:t>
            </w:r>
          </w:p>
        </w:tc>
        <w:tc>
          <w:tcPr>
            <w:tcW w:type="dxa" w:w="1474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Termin</w:t>
            </w:r>
          </w:p>
        </w:tc>
        <w:tc>
          <w:tcPr>
            <w:tcW w:type="dxa" w:w="1474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Erledigt</w:t>
            </w:r>
          </w:p>
        </w:tc>
      </w:tr>
      <w:tr>
        <w:trPr>
          <w:cantSplit w:val="true"/>
        </w:trPr>
        <w:tc>
          <w:tcPr>
            <w:tcW w:type="dxa" w:w="4649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1. Die Runde breit beginnen</w:t>
            </w:r>
          </w:p>
        </w:tc>
        <w:tc>
          <w:tcPr>
            <w:tcW w:type="dxa" w:w="204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4649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2. Die Themen auf Entscheidungsebene bringen</w:t>
            </w:r>
          </w:p>
        </w:tc>
        <w:tc>
          <w:tcPr>
            <w:tcW w:type="dxa" w:w="204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4649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3. Das Kriterienblatt mit Ankern schreiben</w:t>
            </w:r>
          </w:p>
        </w:tc>
        <w:tc>
          <w:tcPr>
            <w:tcW w:type="dxa" w:w="204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4649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4. Rückmeldungen nummerieren</w:t>
            </w:r>
          </w:p>
        </w:tc>
        <w:tc>
          <w:tcPr>
            <w:tcW w:type="dxa" w:w="204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4649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5. Zu zweit bewerten, nach Regel</w:t>
            </w:r>
          </w:p>
        </w:tc>
        <w:tc>
          <w:tcPr>
            <w:tcW w:type="dxa" w:w="204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4649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6. Jede Zeile begründen</w:t>
            </w:r>
          </w:p>
        </w:tc>
        <w:tc>
          <w:tcPr>
            <w:tcW w:type="dxa" w:w="204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4649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7. Fassung und Verteiler festlegen</w:t>
            </w:r>
          </w:p>
        </w:tc>
        <w:tc>
          <w:tcPr>
            <w:tcW w:type="dxa" w:w="204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</w:tbl>
    <w:p>
      <w:pPr>
        <w:spacing w:after="40"/>
      </w:pPr>
    </w:p>
    <w:p>
      <w:pPr>
        <w:pStyle w:val="Heading2"/>
      </w:pPr>
      <w:r>
        <w:t>Prüf-Checkliste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CBB5"/>
          <w:left w:val="single" w:sz="4" w:color="D9CBB5"/>
          <w:bottom w:val="single" w:sz="4" w:color="D9CBB5"/>
          <w:right w:val="single" w:sz="4" w:color="D9CBB5"/>
          <w:insideH w:val="single" w:sz="4" w:color="D9CBB5"/>
          <w:insideV w:val="single" w:sz="4" w:color="D9CBB5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5216"/>
        <w:gridCol w:w="680"/>
        <w:gridCol w:w="680"/>
        <w:gridCol w:w="3061"/>
      </w:tblGrid>
      <w:tr>
        <w:trPr>
          <w:cantSplit w:val="true"/>
          <w:tblHeader w:val="true"/>
        </w:trPr>
        <w:tc>
          <w:tcPr>
            <w:tcW w:type="dxa" w:w="5216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Frage</w:t>
            </w:r>
          </w:p>
        </w:tc>
        <w:tc>
          <w:tcPr>
            <w:tcW w:type="dxa" w:w="680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Ja</w:t>
            </w:r>
          </w:p>
        </w:tc>
        <w:tc>
          <w:tcPr>
            <w:tcW w:type="dxa" w:w="680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Nein</w:t>
            </w:r>
          </w:p>
        </w:tc>
        <w:tc>
          <w:tcPr>
            <w:tcW w:type="dxa" w:w="3061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Nachweis / Bemerkung</w:t>
            </w:r>
          </w:p>
        </w:tc>
      </w:tr>
      <w:tr>
        <w:trPr>
          <w:cantSplit w:val="true"/>
        </w:trPr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Steht jedes Thema auf einer Ebene, auf der im Haus jemand entscheidet?</w:t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Hat jede Stufe der Skala für jedes Kriterium eine schriftliche Beschreibung?</w:t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Folgt die Gesamtstufe einer Regel, die ein hohes Kriterium nicht ausgleicht?</w:t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Bewerten mindestens zwei Personen jedes Thema unabhängig voneinander?</w:t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Lässt sich zu jeder Rückmeldung zeigen, in welche Bewertung sie eingegangen ist?</w:t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Hat jede Zeile eine Begründung in einem Satz?</w:t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Sind die Anlässe festgelegt, zu denen das Register fortgeschrieben wird?</w:t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Wissen wir, wer welche Zeilen erhalten hat, und wann?</w:t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2"/>
      </w:pPr>
      <w:r>
        <w:t>Häufige Fehler</w:t>
      </w:r>
    </w:p>
    <w:p>
      <w:pPr>
        <w:tabs>
          <w:tab w:pos="340" w:val="left"/>
        </w:tabs>
        <w:ind w:left="340" w:hanging="340"/>
      </w:pPr>
      <w:r>
        <w:rPr>
          <w:color w:val="8C5A2B"/>
        </w:rPr>
        <w:t>–</w:t>
        <w:tab/>
      </w:r>
      <w:r>
        <w:rPr>
          <w:b/>
        </w:rPr>
        <w:t>Punkte addieren.</w:t>
      </w:r>
      <w:r>
        <w:t xml:space="preserve"> Die Seltenheit gleicht dann den Schaden aus.</w:t>
      </w:r>
    </w:p>
    <w:p>
      <w:pPr>
        <w:tabs>
          <w:tab w:pos="340" w:val="left"/>
        </w:tabs>
        <w:ind w:left="340" w:hanging="340"/>
      </w:pPr>
      <w:r>
        <w:rPr>
          <w:color w:val="8C5A2B"/>
        </w:rPr>
        <w:t>–</w:t>
        <w:tab/>
      </w:r>
      <w:r>
        <w:rPr>
          <w:b/>
        </w:rPr>
        <w:t>Stufen ohne Anker verwenden.</w:t>
      </w:r>
      <w:r>
        <w:t xml:space="preserve"> Die Skala misst die Person, die bewertet, nicht das Thema.</w:t>
      </w:r>
    </w:p>
    <w:p>
      <w:pPr>
        <w:tabs>
          <w:tab w:pos="340" w:val="left"/>
        </w:tabs>
        <w:ind w:left="340" w:hanging="340"/>
      </w:pPr>
      <w:r>
        <w:rPr>
          <w:color w:val="8C5A2B"/>
        </w:rPr>
        <w:t>–</w:t>
        <w:tab/>
      </w:r>
      <w:r>
        <w:rPr>
          <w:b/>
        </w:rPr>
        <w:t>Kriterien aus einer Vorlage übernehmen.</w:t>
      </w:r>
      <w:r>
        <w:t xml:space="preserve"> Ob sie zum eigenen Geschäft passen, hat niemand entschieden.</w:t>
      </w:r>
    </w:p>
    <w:p>
      <w:pPr>
        <w:tabs>
          <w:tab w:pos="340" w:val="left"/>
        </w:tabs>
        <w:ind w:left="340" w:hanging="340"/>
      </w:pPr>
      <w:r>
        <w:rPr>
          <w:color w:val="8C5A2B"/>
        </w:rPr>
        <w:t>–</w:t>
        <w:tab/>
      </w:r>
      <w:r>
        <w:rPr>
          <w:b/>
        </w:rPr>
        <w:t>Rückmeldungen im Notizbuch lassen.</w:t>
      </w:r>
      <w:r>
        <w:t xml:space="preserve"> Was sich nicht wiederfinden lässt, ist für das Register nie eingegangen.</w:t>
      </w:r>
    </w:p>
    <w:p>
      <w:pPr>
        <w:tabs>
          <w:tab w:pos="340" w:val="left"/>
        </w:tabs>
        <w:ind w:left="340" w:hanging="340"/>
      </w:pPr>
      <w:r>
        <w:rPr>
          <w:color w:val="8C5A2B"/>
        </w:rPr>
        <w:t>–</w:t>
        <w:tab/>
      </w:r>
      <w:r>
        <w:rPr>
          <w:b/>
        </w:rPr>
        <w:t>Servietten und Abfall in dieselbe Liste schreiben.</w:t>
      </w:r>
      <w:r>
        <w:t xml:space="preserve"> Das eine ist zu fein, das andere zu grob für eine Entscheidung.</w:t>
      </w:r>
    </w:p>
    <w:p>
      <w:pPr>
        <w:tabs>
          <w:tab w:pos="340" w:val="left"/>
        </w:tabs>
        <w:ind w:left="340" w:hanging="340"/>
      </w:pPr>
      <w:r>
        <w:rPr>
          <w:color w:val="8C5A2B"/>
        </w:rPr>
        <w:t>–</w:t>
        <w:tab/>
      </w:r>
      <w:r>
        <w:rPr>
          <w:b/>
        </w:rPr>
        <w:t>Das Register auf einem Rechner ablegen.</w:t>
      </w:r>
      <w:r>
        <w:t xml:space="preserve"> Ohne Fassung, Anlass und Verteiler veraltet es mit der ersten Hochzeit.</w:t>
      </w:r>
    </w:p>
    <w:p>
      <w:pPr>
        <w:pStyle w:val="Heading2"/>
      </w:pPr>
      <w:r>
        <w:t>Modellrechnung</w:t>
      </w:r>
    </w:p>
    <w:p>
      <w:r>
        <w:rPr>
          <w:b w:val="0"/>
          <w:i/>
          <w:color w:val="5A5A5A"/>
          <w:sz w:val="18"/>
        </w:rPr>
        <w:t>Modellannahme, kein belegter Branchenwert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CBB5"/>
          <w:left w:val="single" w:sz="4" w:color="D9CBB5"/>
          <w:bottom w:val="single" w:sz="4" w:color="D9CBB5"/>
          <w:right w:val="single" w:sz="4" w:color="D9CBB5"/>
          <w:insideH w:val="single" w:sz="4" w:color="D9CBB5"/>
          <w:insideV w:val="single" w:sz="4" w:color="D9CBB5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3175"/>
        <w:gridCol w:w="1474"/>
        <w:gridCol w:w="3175"/>
        <w:gridCol w:w="1814"/>
      </w:tblGrid>
      <w:tr>
        <w:trPr>
          <w:cantSplit w:val="true"/>
          <w:tblHeader w:val="true"/>
        </w:trPr>
        <w:tc>
          <w:tcPr>
            <w:tcW w:type="dxa" w:w="3175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Posten</w:t>
            </w:r>
          </w:p>
        </w:tc>
        <w:tc>
          <w:tcPr>
            <w:tcW w:type="dxa" w:w="1474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Betrag</w:t>
            </w:r>
          </w:p>
        </w:tc>
        <w:tc>
          <w:tcPr>
            <w:tcW w:type="dxa" w:w="3175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Anmerkung</w:t>
            </w:r>
          </w:p>
        </w:tc>
        <w:tc>
          <w:tcPr>
            <w:tcW w:type="dxa" w:w="1814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Eigener Wert</w:t>
            </w:r>
          </w:p>
        </w:tc>
      </w:tr>
      <w:tr>
        <w:trPr>
          <w:cantSplit w:val="true"/>
        </w:trPr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Umsatz aus Hochzeiten: 36 zu CHF 24.000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CHF 864.000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je Saison; Saal, Essen, Getränke, Zimmer</w:t>
            </w:r>
          </w:p>
        </w:tc>
        <w:tc>
          <w:tcPr>
            <w:tcW w:type="dxa" w:w="181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Runde zur Sammlung: 5 Personen × 3 Stunden</w:t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15 Stunden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einmalig</w:t>
            </w:r>
          </w:p>
        </w:tc>
        <w:tc>
          <w:tcPr>
            <w:tcW w:type="dxa" w:w="181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Kriterienblatt mit Ankern und zweite Bewertung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14 Stunden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einmalig; 6 Stunden Blatt, 2 × 4 Stunden Bewertung</w:t>
            </w:r>
          </w:p>
        </w:tc>
        <w:tc>
          <w:tcPr>
            <w:tcW w:type="dxa" w:w="181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Gespräche mit Gemeinde, Floristin und drei Brautpaaren</w:t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10 Stunden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einmalig</w:t>
            </w:r>
          </w:p>
        </w:tc>
        <w:tc>
          <w:tcPr>
            <w:tcW w:type="dxa" w:w="181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Pflege nach jeder Hochzeit: 36 × 0,25 Stunden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9 Stunden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je Saison</w:t>
            </w:r>
          </w:p>
        </w:tc>
        <w:tc>
          <w:tcPr>
            <w:tcW w:type="dxa" w:w="181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Überprüfung nach der Saison: 4 Personen × 2 Stunden</w:t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8 Stunden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je Saison</w:t>
            </w:r>
          </w:p>
        </w:tc>
        <w:tc>
          <w:tcPr>
            <w:tcW w:type="dxa" w:w="181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Alle Stunden im ersten Jahr: 56 × CHF 55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CHF 3.080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interner Stundensatz als Annahme</w:t>
            </w:r>
          </w:p>
        </w:tc>
        <w:tc>
          <w:tcPr>
            <w:tcW w:type="dxa" w:w="181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</w:tbl>
    <w:p>
      <w:pPr>
        <w:spacing w:after="40"/>
      </w:pPr>
    </w:p>
    <w:p>
      <w:r>
        <w:rPr>
          <w:b w:val="0"/>
          <w:i w:val="0"/>
        </w:rPr>
        <w:t>Das Register kostet im ersten Jahr weniger als ein Siebtel des Umsatzes einer einzigen Hochzeit, in den Folgejahren einen Bruchteil davon. Teurer wird es nur, wenn es nicht gepflegt wird: Dann beginnt die Runde im nächsten Frühjahr wieder bei zweiundfünfzig Zeilen.</w:t>
      </w:r>
    </w:p>
    <w:p>
      <w:pPr>
        <w:pStyle w:val="Heading2"/>
      </w:pPr>
      <w:r>
        <w:t>Was verlangt ist, und was nur Anleitung ist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CBB5"/>
          <w:left w:val="single" w:sz="4" w:color="D9CBB5"/>
          <w:bottom w:val="single" w:sz="4" w:color="D9CBB5"/>
          <w:right w:val="single" w:sz="4" w:color="D9CBB5"/>
          <w:insideH w:val="single" w:sz="4" w:color="D9CBB5"/>
          <w:insideV w:val="single" w:sz="4" w:color="D9CBB5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3288"/>
        <w:gridCol w:w="3175"/>
        <w:gridCol w:w="3175"/>
      </w:tblGrid>
      <w:tr>
        <w:trPr>
          <w:cantSplit w:val="true"/>
          <w:tblHeader w:val="true"/>
        </w:trPr>
        <w:tc>
          <w:tcPr>
            <w:tcW w:type="dxa" w:w="3288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Verlangt (Norm)</w:t>
            </w:r>
          </w:p>
        </w:tc>
        <w:tc>
          <w:tcPr>
            <w:tcW w:type="dxa" w:w="3175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Was es im Hotel belegt</w:t>
            </w:r>
          </w:p>
        </w:tc>
        <w:tc>
          <w:tcPr>
            <w:tcW w:type="dxa" w:w="3175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Nur Anhang oder Methode</w:t>
            </w:r>
          </w:p>
        </w:tc>
      </w:tr>
      <w:tr>
        <w:trPr>
          <w:cantSplit w:val="true"/>
        </w:trPr>
        <w:tc>
          <w:tcPr>
            <w:tcW w:type="dxa" w:w="3288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Prozess zum Identifizieren und Bewerten (6.1.2)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Verfahrensblatt: Beteiligte, Schritte, Termine, Anlässe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Brainstorming mit Abteilungsleitern (A.10)</w:t>
            </w:r>
          </w:p>
        </w:tc>
      </w:tr>
      <w:tr>
        <w:trPr>
          <w:cantSplit w:val="true"/>
        </w:trPr>
        <w:tc>
          <w:tcPr>
            <w:tcW w:type="dxa" w:w="3288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Kriterien dokumentiert (6.1.2)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Kriterienblatt mit Ankern je Stufe, freigegeben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fünf Kriterien (C.2.2); drei Stufen und Regel (Methode, 1.9)</w:t>
            </w:r>
          </w:p>
        </w:tc>
      </w:tr>
      <w:tr>
        <w:trPr>
          <w:cantSplit w:val="true"/>
        </w:trPr>
        <w:tc>
          <w:tcPr>
            <w:tcW w:type="dxa" w:w="3288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Rückmeldungen, aufkommende Themen, Forschung wo zutreffend (6.1.2)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nummerierte Rückmeldungen, Verweis in der Begründung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Parteien vor der Zielsetzung befragen (A.10)</w:t>
            </w:r>
          </w:p>
        </w:tc>
      </w:tr>
      <w:tr>
        <w:trPr>
          <w:cantSplit w:val="true"/>
        </w:trPr>
        <w:tc>
          <w:tcPr>
            <w:tcW w:type="dxa" w:w="3288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Auch beeinflussbare Themen (6.1.2)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Spalte Einordnung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dritte Gruppe «weder noch, aber bedeutend» (A.10)</w:t>
            </w:r>
          </w:p>
        </w:tc>
      </w:tr>
      <w:tr>
        <w:trPr>
          <w:cantSplit w:val="true"/>
        </w:trPr>
        <w:tc>
          <w:tcPr>
            <w:tcW w:type="dxa" w:w="3288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Ergebnisse dokumentiert, aktuell, geteilt (6.1.2)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Register mit Fassung und Datum; Verteilerliste; Versandnachweis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zwei Bewertende je Zeile (Methode)</w:t>
            </w:r>
          </w:p>
        </w:tc>
      </w:tr>
    </w:tbl>
    <w:p>
      <w:pPr>
        <w:spacing w:after="40"/>
      </w:pPr>
    </w:p>
    <w:p>
      <w:pPr>
        <w:pStyle w:val="Heading2"/>
      </w:pPr>
      <w:r>
        <w:t>DACH-Anker: wo die Themen einer Hochzeit auf Recht treffen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CBB5"/>
          <w:left w:val="single" w:sz="4" w:color="D9CBB5"/>
          <w:bottom w:val="single" w:sz="4" w:color="D9CBB5"/>
          <w:right w:val="single" w:sz="4" w:color="D9CBB5"/>
          <w:insideH w:val="single" w:sz="4" w:color="D9CBB5"/>
          <w:insideV w:val="single" w:sz="4" w:color="D9CBB5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1474"/>
        <w:gridCol w:w="2721"/>
        <w:gridCol w:w="2721"/>
        <w:gridCol w:w="2721"/>
      </w:tblGrid>
      <w:tr>
        <w:trPr>
          <w:cantSplit w:val="true"/>
          <w:tblHeader w:val="true"/>
        </w:trPr>
        <w:tc>
          <w:tcPr>
            <w:tcW w:type="dxa" w:w="1474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Ebene</w:t>
            </w:r>
          </w:p>
        </w:tc>
        <w:tc>
          <w:tcPr>
            <w:tcW w:type="dxa" w:w="2721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Deutschland</w:t>
            </w:r>
          </w:p>
        </w:tc>
        <w:tc>
          <w:tcPr>
            <w:tcW w:type="dxa" w:w="2721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Österreich</w:t>
            </w:r>
          </w:p>
        </w:tc>
        <w:tc>
          <w:tcPr>
            <w:tcW w:type="dxa" w:w="2721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Schweiz</w:t>
            </w:r>
          </w:p>
        </w:tc>
      </w:tr>
      <w:tr>
        <w:trPr>
          <w:cantSplit w:val="true"/>
        </w:trPr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Lautstärke im Saal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Landes- und Gemeinderecht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Landes- und Gemeinderecht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V-NISSG: bei mehr als 93 dB(A) im Stundenmittel Pflichten zum Schutz des Publikums, darunter Meldung mindestens 14 Tage vorher; bei Veranstaltungen ausschliesslich für unter 16-Jährige: 93 dB(A) dürfen nicht überschritten werden</w:t>
            </w:r>
          </w:p>
        </w:tc>
      </w:tr>
      <w:tr>
        <w:trPr>
          <w:cantSplit w:val="true"/>
        </w:trPr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Nachtruhe und Feuerwerk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Landes- und Gemeinderecht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Landes- und Gemeinderecht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Gemeinde- und Kantonsrecht</w:t>
            </w:r>
          </w:p>
        </w:tc>
      </w:tr>
      <w:tr>
        <w:trPr>
          <w:cantSplit w:val="true"/>
        </w:trPr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Speisereste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Richtlinie (EU) 2025/1892: minus 30 % je Kopf bis Ende 2030, auch Gaststätten; Umsetzung bis 17. Juni 2027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ebenso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Aktionsplan des Bundesrats vom 6. April 2022; Branchenvereinbarung vom 12. Mai 2022, unter anderem mit HotellerieSuisse</w:t>
            </w:r>
          </w:p>
        </w:tc>
      </w:tr>
      <w:tr>
        <w:trPr>
          <w:cantSplit w:val="true"/>
        </w:trPr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Saisonkräfte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Arbeitszeit- und Tarifrecht (1.12)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Arbeitszeitrecht und Kollektivvertrag (1.12)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Landes-Gesamtarbeitsvertrag des Gastgewerbes, auch für Aushilfen und Saisonbetriebe</w:t>
            </w:r>
          </w:p>
        </w:tc>
      </w:tr>
      <w:tr>
        <w:trPr>
          <w:cantSplit w:val="true"/>
        </w:trPr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Aussagen über die Hochzeit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UWG ab 27. September 2026, gegenüber Verbrauchern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UWG-Novelle BGBl. I Nr. 58/2026, gegenüber Verbrauchern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Art. 3 Abs. 1 lit. x UWG für die Klimawirkung, sonst lit. b</w:t>
            </w:r>
          </w:p>
        </w:tc>
      </w:tr>
    </w:tbl>
    <w:p>
      <w:pPr>
        <w:spacing w:after="40"/>
      </w:pPr>
    </w:p>
    <w:p>
      <w:r>
        <w:rPr>
          <w:b w:val="0"/>
          <w:i w:val="0"/>
          <w:color w:val="5A5A5A"/>
          <w:sz w:val="17"/>
        </w:rPr>
        <w:t>Stand der Tabelle: 22. Oktober 2026, wie im Buch. Die laufende Fassung mit Änderungen nach diesem Stichtag steht in Band8a_Rechtsanker_DACH_laufend.xlsx. Die Tabelle ersetzt keine Prüfung der geltenden Fassung und keine Rechtsberatung im Einzelfall.</w:t>
      </w:r>
    </w:p>
    <w:p>
      <w:r>
        <w:rPr>
          <w:b w:val="0"/>
          <w:i w:val="0"/>
          <w:color w:val="5A5A5A"/>
          <w:sz w:val="17"/>
        </w:rPr>
        <w:t>Quelle: Francesco Dore, Das Steuer und die Lupe, Band 8a «Das Fest und seine Spuren», Abschnitt 2.5. Edizioni Effedore, 2026.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5A5A5A"/>
        <w:sz w:val="15"/>
      </w:rPr>
      <w:t xml:space="preserve">Arbeitsmaterial 2.5 · Edizioni Effedore · buecher.effedore.com · Arbeitshilfe, keine Rechtsberatung  ·  Seite </w:t>
    </w:r>
    <w:r>
      <w:rPr>
        <w:color w:val="5A5A5A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  <w:r>
      <w:rPr>
        <w:color w:val="8C5A2B"/>
        <w:sz w:val="15"/>
      </w:rPr>
      <w:t>Das Steuer und die Lupe · Band 8a · ISO 20121 — Das Fest und seine Spuren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eastAsia="Aptos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/>
      <w:outlineLvl w:val="0"/>
    </w:pPr>
    <w:rPr>
      <w:rFonts w:asciiTheme="" w:eastAsiaTheme="majorEastAsia" w:hAnsiTheme="majorHAnsi" w:cstheme="majorBidi" w:ascii="Aptos" w:hAnsi="Aptos"/>
      <w:b/>
      <w:bCs/>
      <w:color w:val="8C5A2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" w:eastAsiaTheme="majorEastAsia" w:hAnsiTheme="majorHAnsi" w:cstheme="majorBidi" w:ascii="Aptos" w:hAnsi="Aptos"/>
      <w:b/>
      <w:bCs/>
      <w:color w:val="8C5A2B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Arbeitsmaterial 2.5 — Ein Themenregister aufbauen</dc:title>
  <dc:subject/>
  <dc:creator>Francesco Dore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