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2.6</w:t>
      </w:r>
    </w:p>
    <w:p>
      <w:pPr>
        <w:pStyle w:val="Heading1"/>
      </w:pPr>
      <w:r>
        <w:t>Risiken und Chancen ableiten</w:t>
      </w:r>
    </w:p>
    <w:p>
      <w:pPr>
        <w:spacing w:after="0"/>
      </w:pPr>
      <w:r>
        <w:rPr>
          <w:b w:val="0"/>
          <w:i/>
          <w:color w:val="5A5A5A"/>
        </w:rPr>
        <w:t>Abschnitt 2.6 · Risiken und Chancen</w:t>
      </w:r>
    </w:p>
    <w:p>
      <w:pPr>
        <w:spacing w:after="160"/>
      </w:pPr>
      <w:r>
        <w:rPr>
          <w:b w:val="0"/>
          <w:i w:val="0"/>
          <w:color w:val="5A5A5A"/>
          <w:sz w:val="18"/>
        </w:rPr>
        <w:t>Modellfall im Buch: Wiesbaden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heute die Risiken Ihres Veranstaltungsgeschäfts aufschreiben müssten: Stammen sie aus einer Vorlage oder aus dem, was in Ihrem Haus nach dem letzten Ball geschehen ist? Und woran würden Sie im nächsten Jahr erkennen, dass Ihre Maßnahmen gewirkt haben?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Ein Eintrag der Risikoliste: die Abholung in der Nacht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Feld</w:t>
            </w:r>
          </w:p>
        </w:tc>
        <w:tc>
          <w:tcPr>
            <w:tcW w:type="dxa" w:w="3213"/>
            <w:shd w:val="clear" w:color="auto" w:fill="8C5A2B"/>
          </w:tcPr>
          <w:p>
            <w:pPr>
              <w:spacing w:after="0" w:before="0"/>
            </w:pPr>
            <w:r/>
            <w:r>
              <w:rPr>
                <w:b/>
                <w:i w:val="0"/>
                <w:color w:val="FFFFFF"/>
                <w:sz w:val="18"/>
              </w:rPr>
              <w:t>Eintrag</w:t>
            </w:r>
          </w:p>
        </w:tc>
        <w:tc>
          <w:tcPr>
            <w:tcW w:type="dxa" w:w="3213"/>
            <w:shd w:val="clear" w:color="auto" w:fill="8C5A2B"/>
          </w:tcPr>
          <w:p>
            <w:pPr>
              <w:spacing w:after="0" w:before="0"/>
            </w:pPr>
            <w:r/>
            <w:r>
              <w:rPr>
                <w:b/>
                <w:i w:val="0"/>
                <w:color w:val="FFFFFF"/>
                <w:sz w:val="18"/>
              </w:rPr>
              <w:t>Anmerkung</w:t>
            </w:r>
          </w:p>
        </w:tc>
      </w:tr>
      <w:tr>
        <w:trPr>
          <w:cantSplit w:val="true"/>
        </w:trPr>
        <w:tc>
          <w:tcPr>
            <w:tcW w:type="dxa" w:w="3213"/>
          </w:tcPr>
          <w:p>
            <w:pPr>
              <w:spacing w:after="0" w:before="0"/>
            </w:pPr>
            <w:r/>
            <w:r>
              <w:rPr>
                <w:b w:val="0"/>
                <w:i w:val="0"/>
                <w:color w:val="1A1A1A"/>
                <w:sz w:val="18"/>
              </w:rPr>
              <w:t>Herkunft</w:t>
            </w:r>
          </w:p>
        </w:tc>
        <w:tc>
          <w:tcPr>
            <w:tcW w:type="dxa" w:w="3213"/>
          </w:tcPr>
          <w:p>
            <w:pPr>
              <w:spacing w:after="0" w:before="0"/>
            </w:pPr>
            <w:r/>
            <w:r>
              <w:rPr>
                <w:b w:val="0"/>
                <w:i w:val="0"/>
                <w:color w:val="1A1A1A"/>
                <w:sz w:val="18"/>
              </w:rPr>
              <w:t>Thema Anwohner und Lärm; Partei Spüldienstleister</w:t>
            </w:r>
          </w:p>
        </w:tc>
        <w:tc>
          <w:tcPr>
            <w:tcW w:type="dxa" w:w="3213"/>
          </w:tcPr>
          <w:p>
            <w:pPr>
              <w:spacing w:after="0" w:before="0"/>
            </w:pPr>
            <w:r/>
            <w:r>
              <w:rPr>
                <w:b w:val="0"/>
                <w:i w:val="0"/>
                <w:color w:val="1A1A1A"/>
                <w:sz w:val="18"/>
              </w:rPr>
              <w:t>aus Themen- und Parteienregister</w:t>
            </w:r>
          </w:p>
        </w:tc>
      </w:tr>
      <w:tr>
        <w:trPr>
          <w:cantSplit w:val="true"/>
        </w:trPr>
        <w:tc>
          <w:tcPr>
            <w:tcW w:type="dxa" w:w="3213"/>
            <w:shd w:val="clear" w:color="auto" w:fill="F3EFE6"/>
          </w:tcPr>
          <w:p>
            <w:pPr>
              <w:spacing w:after="0" w:before="0"/>
            </w:pPr>
            <w:r/>
            <w:r>
              <w:rPr>
                <w:b w:val="0"/>
                <w:i w:val="0"/>
                <w:color w:val="1A1A1A"/>
                <w:sz w:val="18"/>
              </w:rPr>
              <w:t>Bedingung</w:t>
            </w:r>
          </w:p>
        </w:tc>
        <w:tc>
          <w:tcPr>
            <w:tcW w:type="dxa" w:w="3213"/>
            <w:shd w:val="clear" w:color="auto" w:fill="F3EFE6"/>
          </w:tcPr>
          <w:p>
            <w:pPr>
              <w:spacing w:after="0" w:before="0"/>
            </w:pPr>
            <w:r/>
            <w:r>
              <w:rPr>
                <w:b w:val="0"/>
                <w:i w:val="0"/>
                <w:color w:val="1A1A1A"/>
                <w:sz w:val="18"/>
              </w:rPr>
              <w:t>Wenn der Dienstleister drei Häuser anfährt und unseres zuletzt, dann bleibt das Geschirr bis zum Morgen</w:t>
            </w:r>
          </w:p>
        </w:tc>
        <w:tc>
          <w:tcPr>
            <w:tcW w:type="dxa" w:w="3213"/>
            <w:shd w:val="clear" w:color="auto" w:fill="F3EFE6"/>
          </w:tcPr>
          <w:p>
            <w:pPr>
              <w:spacing w:after="0" w:before="0"/>
            </w:pPr>
            <w:r/>
            <w:r>
              <w:rPr>
                <w:b w:val="0"/>
                <w:i w:val="0"/>
                <w:color w:val="1A1A1A"/>
                <w:sz w:val="18"/>
              </w:rPr>
              <w:t>Blatt des Nachtportiers, 11 Nächte</w:t>
            </w:r>
          </w:p>
        </w:tc>
      </w:tr>
      <w:tr>
        <w:trPr>
          <w:cantSplit w:val="true"/>
        </w:trPr>
        <w:tc>
          <w:tcPr>
            <w:tcW w:type="dxa" w:w="3213"/>
          </w:tcPr>
          <w:p>
            <w:pPr>
              <w:spacing w:after="0" w:before="0"/>
            </w:pPr>
            <w:r/>
            <w:r>
              <w:rPr>
                <w:b w:val="0"/>
                <w:i w:val="0"/>
                <w:color w:val="1A1A1A"/>
                <w:sz w:val="18"/>
              </w:rPr>
              <w:t>Bewertung</w:t>
            </w:r>
          </w:p>
        </w:tc>
        <w:tc>
          <w:tcPr>
            <w:tcW w:type="dxa" w:w="3213"/>
          </w:tcPr>
          <w:p>
            <w:pPr>
              <w:spacing w:after="0" w:before="0"/>
            </w:pPr>
            <w:r/>
            <w:r>
              <w:rPr>
                <w:b w:val="0"/>
                <w:i w:val="0"/>
                <w:color w:val="1A1A1A"/>
                <w:sz w:val="18"/>
              </w:rPr>
              <w:t>Wahrscheinlichkeit hoch, Folge mittel</w:t>
            </w:r>
          </w:p>
        </w:tc>
        <w:tc>
          <w:tcPr>
            <w:tcW w:type="dxa" w:w="3213"/>
          </w:tcPr>
          <w:p>
            <w:pPr>
              <w:spacing w:after="0" w:before="0"/>
            </w:pPr>
            <w:r/>
            <w:r>
              <w:rPr>
                <w:b w:val="0"/>
                <w:i w:val="0"/>
                <w:color w:val="1A1A1A"/>
                <w:sz w:val="18"/>
              </w:rPr>
              <w:t>Leitprinzip Verantwortung berührt</w:t>
            </w:r>
          </w:p>
        </w:tc>
      </w:tr>
      <w:tr>
        <w:trPr>
          <w:cantSplit w:val="true"/>
        </w:trPr>
        <w:tc>
          <w:tcPr>
            <w:tcW w:type="dxa" w:w="3213"/>
            <w:shd w:val="clear" w:color="auto" w:fill="F3EFE6"/>
          </w:tcPr>
          <w:p>
            <w:pPr>
              <w:spacing w:after="0" w:before="0"/>
            </w:pPr>
            <w:r/>
            <w:r>
              <w:rPr>
                <w:b w:val="0"/>
                <w:i w:val="0"/>
                <w:color w:val="1A1A1A"/>
                <w:sz w:val="18"/>
              </w:rPr>
              <w:t>Maßnahme im Prozess</w:t>
            </w:r>
          </w:p>
        </w:tc>
        <w:tc>
          <w:tcPr>
            <w:tcW w:type="dxa" w:w="3213"/>
            <w:shd w:val="clear" w:color="auto" w:fill="F3EFE6"/>
          </w:tcPr>
          <w:p>
            <w:pPr>
              <w:spacing w:after="0" w:before="0"/>
            </w:pPr>
            <w:r/>
            <w:r>
              <w:rPr>
                <w:b w:val="0"/>
                <w:i w:val="0"/>
                <w:color w:val="1A1A1A"/>
                <w:sz w:val="18"/>
              </w:rPr>
              <w:t>Zeitfenster 23.30 bis 0.30 Uhr im Vertrag; Abholzeit im Bankettauftrag</w:t>
            </w:r>
          </w:p>
        </w:tc>
        <w:tc>
          <w:tcPr>
            <w:tcW w:type="dxa" w:w="3213"/>
            <w:shd w:val="clear" w:color="auto" w:fill="F3EFE6"/>
          </w:tcPr>
          <w:p>
            <w:pPr>
              <w:spacing w:after="0" w:before="0"/>
            </w:pPr>
            <w:r/>
            <w:r>
              <w:rPr>
                <w:b w:val="0"/>
                <w:i w:val="0"/>
                <w:color w:val="1A1A1A"/>
                <w:sz w:val="18"/>
              </w:rPr>
              <w:t>Zuschlag für das Zeitfenster</w:t>
            </w:r>
          </w:p>
        </w:tc>
      </w:tr>
      <w:tr>
        <w:trPr>
          <w:cantSplit w:val="true"/>
        </w:trPr>
        <w:tc>
          <w:tcPr>
            <w:tcW w:type="dxa" w:w="3213"/>
          </w:tcPr>
          <w:p>
            <w:pPr>
              <w:spacing w:after="0" w:before="0"/>
            </w:pPr>
            <w:r/>
            <w:r>
              <w:rPr>
                <w:b w:val="0"/>
                <w:i w:val="0"/>
                <w:color w:val="1A1A1A"/>
                <w:sz w:val="18"/>
              </w:rPr>
              <w:t>Verantwortlich</w:t>
            </w:r>
          </w:p>
        </w:tc>
        <w:tc>
          <w:tcPr>
            <w:tcW w:type="dxa" w:w="3213"/>
          </w:tcPr>
          <w:p>
            <w:pPr>
              <w:spacing w:after="0" w:before="0"/>
            </w:pPr>
            <w:r/>
            <w:r>
              <w:rPr>
                <w:b w:val="0"/>
                <w:i w:val="0"/>
                <w:color w:val="1A1A1A"/>
                <w:sz w:val="18"/>
              </w:rPr>
              <w:t>Veranstaltungsleiterin; Einkauf für den Vertrag</w:t>
            </w:r>
          </w:p>
        </w:tc>
        <w:tc>
          <w:tcPr>
            <w:tcW w:type="dxa" w:w="3213"/>
          </w:tcPr>
          <w:p>
            <w:pPr>
              <w:spacing w:after="0" w:before="0"/>
            </w:pPr>
            <w:r/>
            <w:r>
              <w:rPr>
                <w:b w:val="0"/>
                <w:i w:val="0"/>
                <w:color w:val="1A1A1A"/>
                <w:sz w:val="18"/>
              </w:rPr>
              <w:t>Nachtdienst meldet Abweichungen</w:t>
            </w:r>
          </w:p>
        </w:tc>
      </w:tr>
      <w:tr>
        <w:trPr>
          <w:cantSplit w:val="true"/>
        </w:trPr>
        <w:tc>
          <w:tcPr>
            <w:tcW w:type="dxa" w:w="3213"/>
            <w:shd w:val="clear" w:color="auto" w:fill="F3EFE6"/>
          </w:tcPr>
          <w:p>
            <w:pPr>
              <w:spacing w:after="0" w:before="0"/>
            </w:pPr>
            <w:r/>
            <w:r>
              <w:rPr>
                <w:b w:val="0"/>
                <w:i w:val="0"/>
                <w:color w:val="1A1A1A"/>
                <w:sz w:val="18"/>
              </w:rPr>
              <w:t>Zeichen der Wirksamkeit</w:t>
            </w:r>
          </w:p>
        </w:tc>
        <w:tc>
          <w:tcPr>
            <w:tcW w:type="dxa" w:w="3213"/>
            <w:shd w:val="clear" w:color="auto" w:fill="F3EFE6"/>
          </w:tcPr>
          <w:p>
            <w:pPr>
              <w:spacing w:after="0" w:before="0"/>
            </w:pPr>
            <w:r/>
            <w:r>
              <w:rPr>
                <w:b w:val="0"/>
                <w:i w:val="0"/>
                <w:color w:val="1A1A1A"/>
                <w:sz w:val="18"/>
              </w:rPr>
              <w:t>Abholung im Zeitfenster in mindestens 10 von 11 Nächten</w:t>
            </w:r>
          </w:p>
        </w:tc>
        <w:tc>
          <w:tcPr>
            <w:tcW w:type="dxa" w:w="3213"/>
            <w:shd w:val="clear" w:color="auto" w:fill="F3EFE6"/>
          </w:tcPr>
          <w:p>
            <w:pPr>
              <w:spacing w:after="0" w:before="0"/>
            </w:pPr>
            <w:r/>
            <w:r>
              <w:rPr>
                <w:b w:val="0"/>
                <w:i w:val="0"/>
                <w:color w:val="1A1A1A"/>
                <w:sz w:val="18"/>
              </w:rPr>
              <w:t>Uhrzeit im Formular des Nachtportiers</w:t>
            </w:r>
          </w:p>
        </w:tc>
      </w:tr>
      <w:tr>
        <w:trPr>
          <w:cantSplit w:val="true"/>
        </w:trPr>
        <w:tc>
          <w:tcPr>
            <w:tcW w:type="dxa" w:w="3213"/>
          </w:tcPr>
          <w:p>
            <w:pPr>
              <w:spacing w:after="0" w:before="0"/>
            </w:pPr>
            <w:r/>
            <w:r>
              <w:rPr>
                <w:b w:val="0"/>
                <w:i w:val="0"/>
                <w:color w:val="1A1A1A"/>
                <w:sz w:val="18"/>
              </w:rPr>
              <w:t>Überprüfung</w:t>
            </w:r>
          </w:p>
        </w:tc>
        <w:tc>
          <w:tcPr>
            <w:tcW w:type="dxa" w:w="3213"/>
          </w:tcPr>
          <w:p>
            <w:pPr>
              <w:spacing w:after="0" w:before="0"/>
            </w:pPr>
            <w:r/>
            <w:r>
              <w:rPr>
                <w:b w:val="0"/>
                <w:i w:val="0"/>
                <w:color w:val="1A1A1A"/>
                <w:sz w:val="18"/>
              </w:rPr>
              <w:t>nach der Ballsaison und nach der Kongresssaison</w:t>
            </w:r>
          </w:p>
        </w:tc>
        <w:tc>
          <w:tcPr>
            <w:tcW w:type="dxa" w:w="3213"/>
          </w:tcPr>
          <w:p>
            <w:pPr>
              <w:spacing w:after="0" w:before="0"/>
            </w:pPr>
            <w:r/>
            <w:r>
              <w:rPr>
                <w:b w:val="0"/>
                <w:i w:val="0"/>
                <w:color w:val="1A1A1A"/>
                <w:sz w:val="18"/>
              </w:rPr>
              <w:t>Lehren an die Managementbewertung</w:t>
            </w:r>
          </w:p>
        </w:tc>
      </w:tr>
    </w:tbl>
    <w:p>
      <w:pPr>
        <w:spacing w:after="40"/>
      </w:pPr>
    </w:p>
    <w:p>
      <w:pPr>
        <w:pStyle w:val="Heading2"/>
      </w:pPr>
      <w:r>
        <w:t>Praktische Anwendung: Risiken und Chancen in sieben Schritten ableiten</w:t>
      </w:r>
    </w:p>
    <w:p>
      <w:pPr>
        <w:tabs>
          <w:tab w:pos="340" w:val="left"/>
        </w:tabs>
        <w:ind w:left="340" w:hanging="340"/>
      </w:pPr>
      <w:r>
        <w:rPr>
          <w:b/>
          <w:color w:val="8C5A2B"/>
        </w:rPr>
        <w:t>1.</w:t>
        <w:tab/>
      </w:r>
      <w:r>
        <w:rPr>
          <w:b/>
        </w:rPr>
        <w:t>Mit den Registern beginnen.</w:t>
      </w:r>
      <w:r>
        <w:t xml:space="preserve"> Themenregister und Parteienregister liegen auf dem Tisch, keine Vorlage. Zu jedem bedeutenden Thema und jeder wichtigen Partei werden beide Fragen gestellt: Was kann misslingen, was kann besser gelingen?</w:t>
      </w:r>
    </w:p>
    <w:p>
      <w:pPr>
        <w:tabs>
          <w:tab w:pos="340" w:val="left"/>
        </w:tabs>
        <w:ind w:left="340" w:hanging="340"/>
      </w:pPr>
      <w:r>
        <w:rPr>
          <w:b/>
          <w:color w:val="8C5A2B"/>
        </w:rPr>
        <w:t>2.</w:t>
        <w:tab/>
      </w:r>
      <w:r>
        <w:rPr>
          <w:b/>
        </w:rPr>
        <w:t>Die Nacht und die Schnittstellen befragen.</w:t>
      </w:r>
      <w:r>
        <w:t xml:space="preserve"> Nachtdienst, Spülküche, Haustechnik und die Lieferanten, die nachts kommen, werden gehört. Ihre Beobachtungen werden aufgeschrieben, mit Datum und Zahl.</w:t>
      </w:r>
    </w:p>
    <w:p>
      <w:pPr>
        <w:tabs>
          <w:tab w:pos="340" w:val="left"/>
        </w:tabs>
        <w:ind w:left="340" w:hanging="340"/>
      </w:pPr>
      <w:r>
        <w:rPr>
          <w:b/>
          <w:color w:val="8C5A2B"/>
        </w:rPr>
        <w:t>3.</w:t>
        <w:tab/>
      </w:r>
      <w:r>
        <w:rPr>
          <w:b/>
        </w:rPr>
        <w:t>Jedes Risiko als Bedingung schreiben.</w:t>
      </w:r>
      <w:r>
        <w:t xml:space="preserve"> Ein Satz mit wenn und dann. Was sich nicht so schreiben lässt, ist noch nicht verstanden.</w:t>
      </w:r>
    </w:p>
    <w:p>
      <w:pPr>
        <w:tabs>
          <w:tab w:pos="340" w:val="left"/>
        </w:tabs>
        <w:ind w:left="340" w:hanging="340"/>
      </w:pPr>
      <w:r>
        <w:rPr>
          <w:b/>
          <w:color w:val="8C5A2B"/>
        </w:rPr>
        <w:t>4.</w:t>
        <w:tab/>
      </w:r>
      <w:r>
        <w:rPr>
          <w:b/>
        </w:rPr>
        <w:t>Schlicht bewerten.</w:t>
      </w:r>
      <w:r>
        <w:t xml:space="preserve"> Wahrscheinlichkeit und Folge in je drei Stufen, die Folge auch an den Leitprinzipien gemessen. Jedes Risiko mit hoher Folge bekommt eine Maßnahme.</w:t>
      </w:r>
    </w:p>
    <w:p>
      <w:pPr>
        <w:tabs>
          <w:tab w:pos="340" w:val="left"/>
        </w:tabs>
        <w:ind w:left="340" w:hanging="340"/>
      </w:pPr>
      <w:r>
        <w:rPr>
          <w:b/>
          <w:color w:val="8C5A2B"/>
        </w:rPr>
        <w:t>5.</w:t>
        <w:tab/>
      </w:r>
      <w:r>
        <w:rPr>
          <w:b/>
        </w:rPr>
        <w:t>Der Maßnahme einen Ort geben.</w:t>
      </w:r>
      <w:r>
        <w:t xml:space="preserve"> Vertrag, Bankettauftrag, Ablaufplan oder Einweisung, mit einer Person und einem Auslöser. Was in keinem Prozess steht, gilt als nicht geplant.</w:t>
      </w:r>
    </w:p>
    <w:p>
      <w:pPr>
        <w:tabs>
          <w:tab w:pos="340" w:val="left"/>
        </w:tabs>
        <w:ind w:left="340" w:hanging="340"/>
      </w:pPr>
      <w:r>
        <w:rPr>
          <w:b/>
          <w:color w:val="8C5A2B"/>
        </w:rPr>
        <w:t>6.</w:t>
        <w:tab/>
      </w:r>
      <w:r>
        <w:rPr>
          <w:b/>
        </w:rPr>
        <w:t>Ein Zeichen der Wirksamkeit festlegen.</w:t>
      </w:r>
      <w:r>
        <w:t xml:space="preserve"> Eine Beobachtung, die ohnehin anfällt oder leicht zu erheben ist. Wer sie aufschreibt, steht im Eintrag.</w:t>
      </w:r>
    </w:p>
    <w:p>
      <w:pPr>
        <w:tabs>
          <w:tab w:pos="340" w:val="left"/>
        </w:tabs>
        <w:ind w:left="340" w:hanging="340"/>
      </w:pPr>
      <w:r>
        <w:rPr>
          <w:b/>
          <w:color w:val="8C5A2B"/>
        </w:rPr>
        <w:t>7.</w:t>
        <w:tab/>
      </w:r>
      <w:r>
        <w:rPr>
          <w:b/>
        </w:rPr>
        <w:t>Nach jeder Saison prüfen.</w:t>
      </w:r>
      <w:r>
        <w:t xml:space="preserve"> Die Runde sieht die Zeichen an, ändert unwirksame Maßnahmen und gibt die Lehren an die Managementbewertung. Wer einen Hinweis gegeben hat, erfährt, was daraus geworden ist.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Mit den Registern beginnen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Nacht und die Schnittstellen befragen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Jedes Risiko als Bedingung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Schlicht bewerten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Der Maßnahme einen Ort 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 Zeichen der Wirksamkeit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 jeder Saison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Lässt sich jedes Risiko auf ein Thema oder eine Partei unseres Hauses zurückführen?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Chancen in derselben Liste wie Risiken?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jedes Risiko als Bedingung beschrieben, nicht als Schlagwort?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Messen wir die Folgen auch daran, wen sie treffen, nicht nur am Geld?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jede Maßnahme in einem Vertrag, Auftrag, Ablauf oder einer Einweisung?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Maßnahme ein Zeichen, an dem wir ihre Wirkung erkennen?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Sind Dienstleister, die nachts arbeiten, in der Liste vertreten?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Erfährt der Nachtdienst, was aus seinen Hinweisen geworden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Liste aus einer Vorlage übernehmen.</w:t>
      </w:r>
      <w:r>
        <w:t xml:space="preserve"> Sie beschreibt jedes Haus und deshalb keines.</w:t>
      </w:r>
    </w:p>
    <w:p>
      <w:pPr>
        <w:tabs>
          <w:tab w:pos="340" w:val="left"/>
        </w:tabs>
        <w:ind w:left="340" w:hanging="340"/>
      </w:pPr>
      <w:r>
        <w:rPr>
          <w:color w:val="8C5A2B"/>
        </w:rPr>
        <w:t>–</w:t>
        <w:tab/>
      </w:r>
      <w:r>
        <w:rPr>
          <w:b/>
        </w:rPr>
        <w:t>Nur Gefahren aufschreiben.</w:t>
      </w:r>
      <w:r>
        <w:t xml:space="preserve"> Die Chancen bleiben liegen, und mit ihnen die Hälfte der Ungewissheit.</w:t>
      </w:r>
    </w:p>
    <w:p>
      <w:pPr>
        <w:tabs>
          <w:tab w:pos="340" w:val="left"/>
        </w:tabs>
        <w:ind w:left="340" w:hanging="340"/>
      </w:pPr>
      <w:r>
        <w:rPr>
          <w:color w:val="8C5A2B"/>
        </w:rPr>
        <w:t>–</w:t>
        <w:tab/>
      </w:r>
      <w:r>
        <w:rPr>
          <w:b/>
        </w:rPr>
        <w:t>Risiken als Unglücksfälle denken.</w:t>
      </w:r>
      <w:r>
        <w:t xml:space="preserve"> Die Bedingungen, die jede Woche gelten, fallen dann heraus.</w:t>
      </w:r>
    </w:p>
    <w:p>
      <w:pPr>
        <w:tabs>
          <w:tab w:pos="340" w:val="left"/>
        </w:tabs>
        <w:ind w:left="340" w:hanging="340"/>
      </w:pPr>
      <w:r>
        <w:rPr>
          <w:color w:val="8C5A2B"/>
        </w:rPr>
        <w:t>–</w:t>
        <w:tab/>
      </w:r>
      <w:r>
        <w:rPr>
          <w:b/>
        </w:rPr>
        <w:t>Maßnahmen beschließen, ohne ihnen einen Ort zu geben.</w:t>
      </w:r>
      <w:r>
        <w:t xml:space="preserve"> Am heißen Tag weiß niemand, wer was veranlasst.</w:t>
      </w:r>
    </w:p>
    <w:p>
      <w:pPr>
        <w:tabs>
          <w:tab w:pos="340" w:val="left"/>
        </w:tabs>
        <w:ind w:left="340" w:hanging="340"/>
      </w:pPr>
      <w:r>
        <w:rPr>
          <w:color w:val="8C5A2B"/>
        </w:rPr>
        <w:t>–</w:t>
        <w:tab/>
      </w:r>
      <w:r>
        <w:rPr>
          <w:b/>
        </w:rPr>
        <w:t>Die Wirkung nicht prüfen.</w:t>
      </w:r>
      <w:r>
        <w:t xml:space="preserve"> Die Ventilatoren stehen im Keller, und die Liste führt das Risiko als behandelt.</w:t>
      </w:r>
    </w:p>
    <w:p>
      <w:pPr>
        <w:tabs>
          <w:tab w:pos="340" w:val="left"/>
        </w:tabs>
        <w:ind w:left="340" w:hanging="340"/>
      </w:pPr>
      <w:r>
        <w:rPr>
          <w:color w:val="8C5A2B"/>
        </w:rPr>
        <w:t>–</w:t>
        <w:tab/>
      </w:r>
      <w:r>
        <w:rPr>
          <w:b/>
        </w:rPr>
        <w:t>Hinweise aus der Nacht als Klage hören.</w:t>
      </w:r>
      <w:r>
        <w:t xml:space="preserve"> Das Muster wird erst sichtbar, wenn jemand die Zeilen zählt.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Ballsaison: 6 Bälle zu € 95.000</w:t>
            </w:r>
          </w:p>
        </w:tc>
        <w:tc>
          <w:tcPr>
            <w:tcW w:type="dxa" w:w="1474"/>
          </w:tcPr>
          <w:p>
            <w:pPr>
              <w:spacing w:after="0" w:before="0"/>
            </w:pPr>
            <w:r/>
            <w:r>
              <w:rPr>
                <w:b w:val="0"/>
                <w:i w:val="0"/>
                <w:color w:val="1A1A1A"/>
                <w:sz w:val="18"/>
              </w:rPr>
              <w:t>€ 570.000</w:t>
            </w:r>
          </w:p>
        </w:tc>
        <w:tc>
          <w:tcPr>
            <w:tcW w:type="dxa" w:w="3175"/>
          </w:tcPr>
          <w:p>
            <w:pPr>
              <w:spacing w:after="0" w:before="0"/>
            </w:pPr>
            <w:r/>
            <w:r>
              <w:rPr>
                <w:b w:val="0"/>
                <w:i w:val="0"/>
                <w:color w:val="1A1A1A"/>
                <w:sz w:val="18"/>
              </w:rPr>
              <w:t>Saal, Bankett, Getränke, Zimmer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Risikoliste aufbauen: 16 Stunden Veranstaltungsleitung, Runde 5 × 3 Stunden</w:t>
            </w:r>
          </w:p>
        </w:tc>
        <w:tc>
          <w:tcPr>
            <w:tcW w:type="dxa" w:w="1474"/>
            <w:shd w:val="clear" w:color="auto" w:fill="F3EFE6"/>
          </w:tcPr>
          <w:p>
            <w:pPr>
              <w:spacing w:after="0" w:before="0"/>
            </w:pPr>
            <w:r/>
            <w:r>
              <w:rPr>
                <w:b w:val="0"/>
                <w:i w:val="0"/>
                <w:color w:val="1A1A1A"/>
                <w:sz w:val="18"/>
              </w:rPr>
              <w:t>31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Zuschlag für das Zeitfenster der Abholung: 18 Nächte zu € 180</w:t>
            </w:r>
          </w:p>
        </w:tc>
        <w:tc>
          <w:tcPr>
            <w:tcW w:type="dxa" w:w="1474"/>
          </w:tcPr>
          <w:p>
            <w:pPr>
              <w:spacing w:after="0" w:before="0"/>
            </w:pPr>
            <w:r/>
            <w:r>
              <w:rPr>
                <w:b w:val="0"/>
                <w:i w:val="0"/>
                <w:color w:val="1A1A1A"/>
                <w:sz w:val="18"/>
              </w:rPr>
              <w:t>€ 3.240</w:t>
            </w:r>
          </w:p>
        </w:tc>
        <w:tc>
          <w:tcPr>
            <w:tcW w:type="dxa" w:w="3175"/>
          </w:tcPr>
          <w:p>
            <w:pPr>
              <w:spacing w:after="0" w:before="0"/>
            </w:pPr>
            <w:r/>
            <w:r>
              <w:rPr>
                <w:b w:val="0"/>
                <w:i w:val="0"/>
                <w:color w:val="1A1A1A"/>
                <w:sz w:val="18"/>
              </w:rPr>
              <w:t>jährlich; Bälle und große Kongresse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Zweite Agentur als Reserve: 8 Kräfte × 9 Stunden × € 2 Mehrpreis × 6 Bälle</w:t>
            </w:r>
          </w:p>
        </w:tc>
        <w:tc>
          <w:tcPr>
            <w:tcW w:type="dxa" w:w="1474"/>
            <w:shd w:val="clear" w:color="auto" w:fill="F3EFE6"/>
          </w:tcPr>
          <w:p>
            <w:pPr>
              <w:spacing w:after="0" w:before="0"/>
            </w:pPr>
            <w:r/>
            <w:r>
              <w:rPr>
                <w:b w:val="0"/>
                <w:i w:val="0"/>
                <w:color w:val="1A1A1A"/>
                <w:sz w:val="18"/>
              </w:rPr>
              <w:t>€ 864</w:t>
            </w:r>
          </w:p>
        </w:tc>
        <w:tc>
          <w:tcPr>
            <w:tcW w:type="dxa" w:w="3175"/>
            <w:shd w:val="clear" w:color="auto" w:fill="F3EFE6"/>
          </w:tcPr>
          <w:p>
            <w:pPr>
              <w:spacing w:after="0" w:before="0"/>
            </w:pPr>
            <w:r/>
            <w:r>
              <w:rPr>
                <w:b w:val="0"/>
                <w:i w:val="0"/>
                <w:color w:val="1A1A1A"/>
                <w:sz w:val="18"/>
              </w:rPr>
              <w:t>jährlich, nur bei Einsatz</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einer Lüftung mit Nachtkühlung für den Ballsaal</w:t>
            </w:r>
          </w:p>
        </w:tc>
        <w:tc>
          <w:tcPr>
            <w:tcW w:type="dxa" w:w="1474"/>
          </w:tcPr>
          <w:p>
            <w:pPr>
              <w:spacing w:after="0" w:before="0"/>
            </w:pPr>
            <w:r/>
            <w:r>
              <w:rPr>
                <w:b w:val="0"/>
                <w:i w:val="0"/>
                <w:color w:val="1A1A1A"/>
                <w:sz w:val="18"/>
              </w:rPr>
              <w:t>€ 8.500</w:t>
            </w:r>
          </w:p>
        </w:tc>
        <w:tc>
          <w:tcPr>
            <w:tcW w:type="dxa" w:w="3175"/>
          </w:tcPr>
          <w:p>
            <w:pPr>
              <w:spacing w:after="0" w:before="0"/>
            </w:pPr>
            <w:r/>
            <w:r>
              <w:rPr>
                <w:b w:val="0"/>
                <w:i w:val="0"/>
                <w:color w:val="1A1A1A"/>
                <w:sz w:val="18"/>
              </w:rPr>
              <w:t>einmalig, Ingenieurbüro; Entscheidung der Eigentümer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Wasserstationen und Karaffen für heiße Tage</w:t>
            </w:r>
          </w:p>
        </w:tc>
        <w:tc>
          <w:tcPr>
            <w:tcW w:type="dxa" w:w="1474"/>
            <w:shd w:val="clear" w:color="auto" w:fill="F3EFE6"/>
          </w:tcPr>
          <w:p>
            <w:pPr>
              <w:spacing w:after="0" w:before="0"/>
            </w:pPr>
            <w:r/>
            <w:r>
              <w:rPr>
                <w:b w:val="0"/>
                <w:i w:val="0"/>
                <w:color w:val="1A1A1A"/>
                <w:sz w:val="18"/>
              </w:rPr>
              <w:t>€ 1.200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Mehrwegbecher für Stehempfänge: 800 zu € 3</w:t>
            </w:r>
          </w:p>
        </w:tc>
        <w:tc>
          <w:tcPr>
            <w:tcW w:type="dxa" w:w="1474"/>
          </w:tcPr>
          <w:p>
            <w:pPr>
              <w:spacing w:after="0" w:before="0"/>
            </w:pPr>
            <w:r/>
            <w:r>
              <w:rPr>
                <w:b w:val="0"/>
                <w:i w:val="0"/>
                <w:color w:val="1A1A1A"/>
                <w:sz w:val="18"/>
              </w:rPr>
              <w:t>€ 2.400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bl>
    <w:p>
      <w:pPr>
        <w:spacing w:after="40"/>
      </w:pPr>
    </w:p>
    <w:p>
      <w:r>
        <w:rPr>
          <w:b w:val="0"/>
          <w:i w:val="0"/>
        </w:rPr>
        <w:t>Die Posten zusammen machen weniger als drei Prozent des Umsatzes einer Ballsaison aus. Die Rechnung sagt nichts darüber, was eine verlorene Kundin, ein Ausfall des Personals oder eine Beschwerde der Anwohner kosten würde. Sie zeigt, dass die Maßnahmen klein sind, wenn sie an der richtigen Stelle stehen.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Themen (4.1) und Anforderungen (4.2) berücksichtigen (6.1.1)</w:t>
            </w:r>
          </w:p>
        </w:tc>
        <w:tc>
          <w:tcPr>
            <w:tcW w:type="dxa" w:w="3175"/>
          </w:tcPr>
          <w:p>
            <w:pPr>
              <w:spacing w:after="0" w:before="0"/>
            </w:pPr>
            <w:r/>
            <w:r>
              <w:rPr>
                <w:b w:val="0"/>
                <w:i w:val="0"/>
                <w:color w:val="1A1A1A"/>
                <w:sz w:val="18"/>
              </w:rPr>
              <w:t>Spalte Herkunft je Eintrag</w:t>
            </w:r>
          </w:p>
        </w:tc>
        <w:tc>
          <w:tcPr>
            <w:tcW w:type="dxa" w:w="3175"/>
          </w:tcPr>
          <w:p>
            <w:pPr>
              <w:spacing w:after="0" w:before="0"/>
            </w:pPr>
            <w:r/>
            <w:r>
              <w:rPr>
                <w:b w:val="0"/>
                <w:i w:val="0"/>
                <w:color w:val="1A1A1A"/>
                <w:sz w:val="18"/>
              </w:rPr>
              <w:t>Vorgehen nach ISO 31000 (Anmerkung 1)</w:t>
            </w:r>
          </w:p>
        </w:tc>
      </w:tr>
      <w:tr>
        <w:trPr>
          <w:cantSplit w:val="true"/>
        </w:trPr>
        <w:tc>
          <w:tcPr>
            <w:tcW w:type="dxa" w:w="3288"/>
            <w:shd w:val="clear" w:color="auto" w:fill="F3EFE6"/>
          </w:tcPr>
          <w:p>
            <w:pPr>
              <w:spacing w:after="0" w:before="0"/>
            </w:pPr>
            <w:r/>
            <w:r>
              <w:rPr>
                <w:b w:val="0"/>
                <w:i w:val="0"/>
                <w:color w:val="1A1A1A"/>
                <w:sz w:val="18"/>
              </w:rPr>
              <w:t>Risiken und Chancen bestimmen (6.1.1)</w:t>
            </w:r>
          </w:p>
        </w:tc>
        <w:tc>
          <w:tcPr>
            <w:tcW w:type="dxa" w:w="3175"/>
            <w:shd w:val="clear" w:color="auto" w:fill="F3EFE6"/>
          </w:tcPr>
          <w:p>
            <w:pPr>
              <w:spacing w:after="0" w:before="0"/>
            </w:pPr>
            <w:r/>
            <w:r>
              <w:rPr>
                <w:b w:val="0"/>
                <w:i w:val="0"/>
                <w:color w:val="1A1A1A"/>
                <w:sz w:val="18"/>
              </w:rPr>
              <w:t>Liste mit Bedingungen, Chancen als eigene Einträge</w:t>
            </w:r>
          </w:p>
        </w:tc>
        <w:tc>
          <w:tcPr>
            <w:tcW w:type="dxa" w:w="3175"/>
            <w:shd w:val="clear" w:color="auto" w:fill="F3EFE6"/>
          </w:tcPr>
          <w:p>
            <w:pPr>
              <w:spacing w:after="0" w:before="0"/>
            </w:pPr>
            <w:r/>
            <w:r>
              <w:rPr>
                <w:b w:val="0"/>
                <w:i w:val="0"/>
                <w:color w:val="1A1A1A"/>
                <w:sz w:val="18"/>
              </w:rPr>
              <w:t>Methode: Wenn-dann-Satz, drei Stufen</w:t>
            </w:r>
          </w:p>
        </w:tc>
      </w:tr>
      <w:tr>
        <w:trPr>
          <w:cantSplit w:val="true"/>
        </w:trPr>
        <w:tc>
          <w:tcPr>
            <w:tcW w:type="dxa" w:w="3288"/>
          </w:tcPr>
          <w:p>
            <w:pPr>
              <w:spacing w:after="0" w:before="0"/>
            </w:pPr>
            <w:r/>
            <w:r>
              <w:rPr>
                <w:b w:val="0"/>
                <w:i w:val="0"/>
                <w:color w:val="1A1A1A"/>
                <w:sz w:val="18"/>
              </w:rPr>
              <w:t>Maßnahmen planen, in Prozesse einbinden (6.1.1; 8.1)</w:t>
            </w:r>
          </w:p>
        </w:tc>
        <w:tc>
          <w:tcPr>
            <w:tcW w:type="dxa" w:w="3175"/>
          </w:tcPr>
          <w:p>
            <w:pPr>
              <w:spacing w:after="0" w:before="0"/>
            </w:pPr>
            <w:r/>
            <w:r>
              <w:rPr>
                <w:b w:val="0"/>
                <w:i w:val="0"/>
                <w:color w:val="1A1A1A"/>
                <w:sz w:val="18"/>
              </w:rPr>
              <w:t>geänderter Vertrag, Bankettauftrag, Hitzeplan</w:t>
            </w:r>
          </w:p>
        </w:tc>
        <w:tc>
          <w:tcPr>
            <w:tcW w:type="dxa" w:w="3175"/>
          </w:tcPr>
          <w:p>
            <w:pPr>
              <w:spacing w:after="0" w:before="0"/>
            </w:pPr>
            <w:r/>
            <w:r>
              <w:rPr>
                <w:b w:val="0"/>
                <w:i w:val="0"/>
                <w:color w:val="1A1A1A"/>
                <w:sz w:val="18"/>
              </w:rPr>
              <w:t>Verfahren nur dokumentieren, wo nötig (A.17)</w:t>
            </w:r>
          </w:p>
        </w:tc>
      </w:tr>
      <w:tr>
        <w:trPr>
          <w:cantSplit w:val="true"/>
        </w:trPr>
        <w:tc>
          <w:tcPr>
            <w:tcW w:type="dxa" w:w="3288"/>
            <w:shd w:val="clear" w:color="auto" w:fill="F3EFE6"/>
          </w:tcPr>
          <w:p>
            <w:pPr>
              <w:spacing w:after="0" w:before="0"/>
            </w:pPr>
            <w:r/>
            <w:r>
              <w:rPr>
                <w:b w:val="0"/>
                <w:i w:val="0"/>
                <w:color w:val="1A1A1A"/>
                <w:sz w:val="18"/>
              </w:rPr>
              <w:t>Wirksamkeit bewerten (6.1.1)</w:t>
            </w:r>
          </w:p>
        </w:tc>
        <w:tc>
          <w:tcPr>
            <w:tcW w:type="dxa" w:w="3175"/>
            <w:shd w:val="clear" w:color="auto" w:fill="F3EFE6"/>
          </w:tcPr>
          <w:p>
            <w:pPr>
              <w:spacing w:after="0" w:before="0"/>
            </w:pPr>
            <w:r/>
            <w:r>
              <w:rPr>
                <w:b w:val="0"/>
                <w:i w:val="0"/>
                <w:color w:val="1A1A1A"/>
                <w:sz w:val="18"/>
              </w:rPr>
              <w:t>Zeichen der Wirksamkeit, Auswertung nach der Saison</w:t>
            </w:r>
          </w:p>
        </w:tc>
        <w:tc>
          <w:tcPr>
            <w:tcW w:type="dxa" w:w="3175"/>
            <w:shd w:val="clear" w:color="auto" w:fill="F3EFE6"/>
          </w:tcPr>
          <w:p>
            <w:pPr>
              <w:spacing w:after="0" w:before="0"/>
            </w:pPr>
            <w:r/>
            <w:r>
              <w:rPr>
                <w:b w:val="0"/>
                <w:i w:val="0"/>
                <w:color w:val="1A1A1A"/>
                <w:sz w:val="18"/>
              </w:rPr>
              <w:t>Methode: Formular des Nachtdienstes als Datenquelle</w:t>
            </w:r>
          </w:p>
        </w:tc>
      </w:tr>
      <w:tr>
        <w:trPr>
          <w:cantSplit w:val="true"/>
        </w:trPr>
        <w:tc>
          <w:tcPr>
            <w:tcW w:type="dxa" w:w="3288"/>
          </w:tcPr>
          <w:p>
            <w:pPr>
              <w:spacing w:after="0" w:before="0"/>
            </w:pPr>
            <w:r/>
            <w:r>
              <w:rPr>
                <w:b w:val="0"/>
                <w:i w:val="0"/>
                <w:color w:val="1A1A1A"/>
                <w:sz w:val="18"/>
              </w:rPr>
              <w:t>Leitprinzipien im Betrieb einhalten und stärken (6.1.1)</w:t>
            </w:r>
          </w:p>
        </w:tc>
        <w:tc>
          <w:tcPr>
            <w:tcW w:type="dxa" w:w="3175"/>
          </w:tcPr>
          <w:p>
            <w:pPr>
              <w:spacing w:after="0" w:before="0"/>
            </w:pPr>
            <w:r/>
            <w:r>
              <w:rPr>
                <w:b w:val="0"/>
                <w:i w:val="0"/>
                <w:color w:val="1A1A1A"/>
                <w:sz w:val="18"/>
              </w:rPr>
              <w:t>Zeile Leitprinzip je Eintrag</w:t>
            </w:r>
          </w:p>
        </w:tc>
        <w:tc>
          <w:tcPr>
            <w:tcW w:type="dxa" w:w="3175"/>
          </w:tcPr>
          <w:p>
            <w:pPr>
              <w:spacing w:after="0" w:before="0"/>
            </w:pPr>
            <w:r/>
            <w:r>
              <w:rPr>
                <w:b w:val="0"/>
                <w:i w:val="0"/>
                <w:color w:val="1A1A1A"/>
                <w:sz w:val="18"/>
              </w:rPr>
              <w:t>Tabelle A.2</w:t>
            </w:r>
          </w:p>
        </w:tc>
      </w:tr>
      <w:tr>
        <w:trPr>
          <w:cantSplit w:val="true"/>
        </w:trPr>
        <w:tc>
          <w:tcPr>
            <w:tcW w:type="dxa" w:w="3288"/>
            <w:shd w:val="clear" w:color="auto" w:fill="F3EFE6"/>
          </w:tcPr>
          <w:p>
            <w:pPr>
              <w:spacing w:after="0" w:before="0"/>
            </w:pPr>
            <w:r/>
            <w:r>
              <w:rPr>
                <w:b w:val="0"/>
                <w:i w:val="0"/>
                <w:color w:val="1A1A1A"/>
                <w:sz w:val="18"/>
              </w:rPr>
              <w:t>Extern bereitgestellte Prozesse steuern (8.1)</w:t>
            </w:r>
          </w:p>
        </w:tc>
        <w:tc>
          <w:tcPr>
            <w:tcW w:type="dxa" w:w="3175"/>
            <w:shd w:val="clear" w:color="auto" w:fill="F3EFE6"/>
          </w:tcPr>
          <w:p>
            <w:pPr>
              <w:spacing w:after="0" w:before="0"/>
            </w:pPr>
            <w:r/>
            <w:r>
              <w:rPr>
                <w:b w:val="0"/>
                <w:i w:val="0"/>
                <w:color w:val="1A1A1A"/>
                <w:sz w:val="18"/>
              </w:rPr>
              <w:t>Zeitfenster im Vertrag, zweite Agentur</w:t>
            </w:r>
          </w:p>
        </w:tc>
        <w:tc>
          <w:tcPr>
            <w:tcW w:type="dxa" w:w="3175"/>
            <w:shd w:val="clear" w:color="auto" w:fill="F3EFE6"/>
          </w:tcPr>
          <w:p>
            <w:pPr>
              <w:spacing w:after="0" w:before="0"/>
            </w:pPr>
            <w:r/>
            <w:r>
              <w:rPr>
                <w:b w:val="0"/>
                <w:i w:val="0"/>
                <w:color w:val="1A1A1A"/>
                <w:sz w:val="18"/>
              </w:rPr>
              <w:t>Prozesse nach Vorfällen prüfen (A.17)</w:t>
            </w:r>
          </w:p>
        </w:tc>
      </w:tr>
    </w:tbl>
    <w:p>
      <w:pPr>
        <w:spacing w:after="40"/>
      </w:pPr>
    </w:p>
    <w:p>
      <w:pPr>
        <w:pStyle w:val="Heading2"/>
      </w:pPr>
      <w:r>
        <w:t>DACH-Anker: wo die Risiken des Ballsaals auf Recht treffen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Hitze am Arbeitsplatz</w:t>
            </w:r>
          </w:p>
        </w:tc>
        <w:tc>
          <w:tcPr>
            <w:tcW w:type="dxa" w:w="2721"/>
          </w:tcPr>
          <w:p>
            <w:pPr>
              <w:spacing w:after="0" w:before="0"/>
            </w:pPr>
            <w:r/>
            <w:r>
              <w:rPr>
                <w:b w:val="0"/>
                <w:i w:val="0"/>
                <w:color w:val="1A1A1A"/>
                <w:sz w:val="17"/>
              </w:rPr>
              <w:t>ASR A3.5: bei Außenluft über 26 °C und geeignetem Sonnenschutz soll der Arbeitgeber über 26 °C im Raum zusätzliche Maßnahmen ergreifen, über 30 °C muss er nach der Gefährdungsbeurteilung wirksame Maßnahmen ergreifen; über 35 °C für die Zeit der Überschreitung ohne besondere Maßnahmen wie bei Hitzearbeit kein Arbeitsraum</w:t>
            </w:r>
          </w:p>
        </w:tc>
        <w:tc>
          <w:tcPr>
            <w:tcW w:type="dxa" w:w="2721"/>
          </w:tcPr>
          <w:p>
            <w:pPr>
              <w:spacing w:after="0" w:before="0"/>
            </w:pPr>
            <w:r/>
            <w:r>
              <w:rPr>
                <w:b w:val="0"/>
                <w:i w:val="0"/>
                <w:color w:val="1A1A1A"/>
                <w:sz w:val="17"/>
              </w:rPr>
              <w:t>Arbeitnehmerschutzrecht (1.12)</w:t>
            </w:r>
          </w:p>
        </w:tc>
        <w:tc>
          <w:tcPr>
            <w:tcW w:type="dxa" w:w="2721"/>
          </w:tcPr>
          <w:p>
            <w:pPr>
              <w:spacing w:after="0" w:before="0"/>
            </w:pPr>
            <w:r/>
            <w:r>
              <w:rPr>
                <w:b w:val="0"/>
                <w:i w:val="0"/>
                <w:color w:val="1A1A1A"/>
                <w:sz w:val="17"/>
              </w:rPr>
              <w:t>Arbeitsgesetz und seine Verordnungen (1.12)</w:t>
            </w:r>
          </w:p>
        </w:tc>
      </w:tr>
      <w:tr>
        <w:trPr>
          <w:cantSplit w:val="true"/>
        </w:trPr>
        <w:tc>
          <w:tcPr>
            <w:tcW w:type="dxa" w:w="1474"/>
            <w:shd w:val="clear" w:color="auto" w:fill="F3EFE6"/>
          </w:tcPr>
          <w:p>
            <w:pPr>
              <w:spacing w:after="0" w:before="0"/>
            </w:pPr>
            <w:r/>
            <w:r>
              <w:rPr>
                <w:b w:val="0"/>
                <w:i w:val="0"/>
                <w:color w:val="1A1A1A"/>
                <w:sz w:val="17"/>
              </w:rPr>
              <w:t>Einweg aus Kunststoff</w:t>
            </w:r>
          </w:p>
        </w:tc>
        <w:tc>
          <w:tcPr>
            <w:tcW w:type="dxa" w:w="2721"/>
            <w:shd w:val="clear" w:color="auto" w:fill="F3EFE6"/>
          </w:tcPr>
          <w:p>
            <w:pPr>
              <w:spacing w:after="0" w:before="0"/>
            </w:pPr>
            <w:r/>
            <w:r>
              <w:rPr>
                <w:b w:val="0"/>
                <w:i w:val="0"/>
                <w:color w:val="1A1A1A"/>
                <w:sz w:val="17"/>
              </w:rPr>
              <w:t>seit 3. Juli 2021 verboten: Einwegteller, -besteck und Trinkhalme aus Kunststoff sowie Becher aus expandiertem Polystyrol</w:t>
            </w:r>
          </w:p>
        </w:tc>
        <w:tc>
          <w:tcPr>
            <w:tcW w:type="dxa" w:w="2721"/>
            <w:shd w:val="clear" w:color="auto" w:fill="F3EFE6"/>
          </w:tcPr>
          <w:p>
            <w:pPr>
              <w:spacing w:after="0" w:before="0"/>
            </w:pPr>
            <w:r/>
            <w:r>
              <w:rPr>
                <w:b w:val="0"/>
                <w:i w:val="0"/>
                <w:color w:val="1A1A1A"/>
                <w:sz w:val="17"/>
              </w:rPr>
              <w:t>inhaltlich ebenso, seit Dezember 2021 (§ 13n AWG 2002), nach Richtlinie (EU) 2019/904</w:t>
            </w:r>
          </w:p>
        </w:tc>
        <w:tc>
          <w:tcPr>
            <w:tcW w:type="dxa" w:w="2721"/>
            <w:shd w:val="clear" w:color="auto" w:fill="F3EFE6"/>
          </w:tcPr>
          <w:p>
            <w:pPr>
              <w:spacing w:after="0" w:before="0"/>
            </w:pPr>
            <w:r/>
            <w:r>
              <w:rPr>
                <w:b w:val="0"/>
                <w:i w:val="0"/>
                <w:color w:val="1A1A1A"/>
                <w:sz w:val="17"/>
              </w:rPr>
              <w:t>EU-Recht gilt nicht</w:t>
            </w:r>
          </w:p>
        </w:tc>
      </w:tr>
      <w:tr>
        <w:trPr>
          <w:cantSplit w:val="true"/>
        </w:trPr>
        <w:tc>
          <w:tcPr>
            <w:tcW w:type="dxa" w:w="1474"/>
          </w:tcPr>
          <w:p>
            <w:pPr>
              <w:spacing w:after="0" w:before="0"/>
            </w:pPr>
            <w:r/>
            <w:r>
              <w:rPr>
                <w:b w:val="0"/>
                <w:i w:val="0"/>
                <w:color w:val="1A1A1A"/>
                <w:sz w:val="17"/>
              </w:rPr>
              <w:t>Verzehr vor Ort ab 2030</w:t>
            </w:r>
          </w:p>
        </w:tc>
        <w:tc>
          <w:tcPr>
            <w:tcW w:type="dxa" w:w="2721"/>
          </w:tcPr>
          <w:p>
            <w:pPr>
              <w:spacing w:after="0" w:before="0"/>
            </w:pPr>
            <w:r/>
            <w:r>
              <w:rPr>
                <w:b w:val="0"/>
                <w:i w:val="0"/>
                <w:color w:val="1A1A1A"/>
                <w:sz w:val="17"/>
              </w:rPr>
              <w:t>Verordnung (EU) 2025/40, allgemein seit 12. August 2026; ab 1. Januar 2030 nach Art. 25 und Anhang V grundsätzlich keine Einwegkunststoffverpackungen im Gastgewerbe für Speisen und Getränke, die im Haus befüllt und verzehrt werden; Ausnahmen und Begriffe dort</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gilt nicht</w:t>
            </w:r>
          </w:p>
        </w:tc>
      </w:tr>
      <w:tr>
        <w:trPr>
          <w:cantSplit w:val="true"/>
        </w:trPr>
        <w:tc>
          <w:tcPr>
            <w:tcW w:type="dxa" w:w="1474"/>
            <w:shd w:val="clear" w:color="auto" w:fill="F3EFE6"/>
          </w:tcPr>
          <w:p>
            <w:pPr>
              <w:spacing w:after="0" w:before="0"/>
            </w:pPr>
            <w:r/>
            <w:r>
              <w:rPr>
                <w:b w:val="0"/>
                <w:i w:val="0"/>
                <w:color w:val="1A1A1A"/>
                <w:sz w:val="17"/>
              </w:rPr>
              <w:t>Leihkräfte im Betrieb</w:t>
            </w:r>
          </w:p>
        </w:tc>
        <w:tc>
          <w:tcPr>
            <w:tcW w:type="dxa" w:w="2721"/>
            <w:shd w:val="clear" w:color="auto" w:fill="F3EFE6"/>
          </w:tcPr>
          <w:p>
            <w:pPr>
              <w:spacing w:after="0" w:before="0"/>
            </w:pPr>
            <w:r/>
            <w:r>
              <w:rPr>
                <w:b w:val="0"/>
                <w:i w:val="0"/>
                <w:color w:val="1A1A1A"/>
                <w:sz w:val="17"/>
              </w:rPr>
              <w:t>Pflichten auch beim Entleiher (§ 11 Abs. 6 AÜG)</w:t>
            </w:r>
          </w:p>
        </w:tc>
        <w:tc>
          <w:tcPr>
            <w:tcW w:type="dxa" w:w="2721"/>
            <w:shd w:val="clear" w:color="auto" w:fill="F3EFE6"/>
          </w:tcPr>
          <w:p>
            <w:pPr>
              <w:spacing w:after="0" w:before="0"/>
            </w:pPr>
            <w:r/>
            <w:r>
              <w:rPr>
                <w:b w:val="0"/>
                <w:i w:val="0"/>
                <w:color w:val="1A1A1A"/>
                <w:sz w:val="17"/>
              </w:rPr>
              <w:t>Beschäftiger gilt als Arbeitgeber (§ 6 AÜG)</w:t>
            </w:r>
          </w:p>
        </w:tc>
        <w:tc>
          <w:tcPr>
            <w:tcW w:type="dxa" w:w="2721"/>
            <w:shd w:val="clear" w:color="auto" w:fill="F3EFE6"/>
          </w:tcPr>
          <w:p>
            <w:pPr>
              <w:spacing w:after="0" w:before="0"/>
            </w:pPr>
            <w:r/>
            <w:r>
              <w:rPr>
                <w:b w:val="0"/>
                <w:i w:val="0"/>
                <w:color w:val="1A1A1A"/>
                <w:sz w:val="17"/>
              </w:rPr>
              <w:t>gleiche Pflichten wie für eigene Arbeitnehmer (Art. 10 VUV)</w:t>
            </w:r>
          </w:p>
        </w:tc>
      </w:tr>
      <w:tr>
        <w:trPr>
          <w:cantSplit w:val="true"/>
        </w:trPr>
        <w:tc>
          <w:tcPr>
            <w:tcW w:type="dxa" w:w="1474"/>
          </w:tcPr>
          <w:p>
            <w:pPr>
              <w:spacing w:after="0" w:before="0"/>
            </w:pPr>
            <w:r/>
            <w:r>
              <w:rPr>
                <w:b w:val="0"/>
                <w:i w:val="0"/>
                <w:color w:val="1A1A1A"/>
                <w:sz w:val="17"/>
              </w:rPr>
              <w:t>Fragen der Kunden nach Daten</w:t>
            </w:r>
          </w:p>
        </w:tc>
        <w:tc>
          <w:tcPr>
            <w:tcW w:type="dxa" w:w="2721"/>
          </w:tcPr>
          <w:p>
            <w:pPr>
              <w:spacing w:after="0" w:before="0"/>
            </w:pPr>
            <w:r/>
            <w:r>
              <w:rPr>
                <w:b w:val="0"/>
                <w:i w:val="0"/>
                <w:color w:val="1A1A1A"/>
                <w:sz w:val="17"/>
              </w:rPr>
              <w:t>CSRD nach Omnibus I künftig, nach Umsetzung in nationales Recht, nur für mehr als 1.000 Beschäftigte und 450 Mio. Euro Umsatz; Fragen kommen über den Einkauf</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Art. 964a ff. OR für große Gesellschaften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2.6.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2.6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2.6 — Risiken und Chancen ableiten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